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3" w:type="pct"/>
        <w:tblCellMar>
          <w:left w:w="0" w:type="dxa"/>
          <w:right w:w="0" w:type="dxa"/>
        </w:tblCellMar>
        <w:tblLook w:val="0000" w:firstRow="0" w:lastRow="0" w:firstColumn="0" w:lastColumn="0" w:noHBand="0" w:noVBand="0"/>
      </w:tblPr>
      <w:tblGrid>
        <w:gridCol w:w="3193"/>
        <w:gridCol w:w="1036"/>
        <w:gridCol w:w="3214"/>
      </w:tblGrid>
      <w:tr w:rsidR="000C3CD0" w:rsidRPr="00704041" w:rsidTr="00F22990">
        <w:trPr>
          <w:trHeight w:val="80"/>
        </w:trPr>
        <w:tc>
          <w:tcPr>
            <w:tcW w:w="2145" w:type="pct"/>
          </w:tcPr>
          <w:p w:rsidR="000C3CD0" w:rsidRPr="006943AD" w:rsidRDefault="000C3CD0" w:rsidP="00F22990">
            <w:pPr>
              <w:pStyle w:val="Header"/>
              <w:tabs>
                <w:tab w:val="left" w:pos="1269"/>
              </w:tabs>
              <w:rPr>
                <w:b/>
                <w:bCs/>
              </w:rPr>
            </w:pPr>
          </w:p>
        </w:tc>
        <w:tc>
          <w:tcPr>
            <w:tcW w:w="696" w:type="pct"/>
            <w:vAlign w:val="bottom"/>
          </w:tcPr>
          <w:p w:rsidR="000C3CD0" w:rsidRPr="006943AD" w:rsidRDefault="000C3CD0" w:rsidP="00F22990">
            <w:pPr>
              <w:pStyle w:val="Header"/>
              <w:jc w:val="center"/>
              <w:rPr>
                <w:i/>
                <w:sz w:val="18"/>
                <w:szCs w:val="18"/>
              </w:rPr>
            </w:pPr>
          </w:p>
        </w:tc>
        <w:tc>
          <w:tcPr>
            <w:tcW w:w="2159" w:type="pct"/>
          </w:tcPr>
          <w:p w:rsidR="000C3CD0" w:rsidRPr="00704041" w:rsidRDefault="000C3CD0" w:rsidP="00F22990">
            <w:pPr>
              <w:pStyle w:val="Header"/>
              <w:jc w:val="right"/>
              <w:rPr>
                <w:b/>
                <w:bCs/>
                <w:i/>
                <w:sz w:val="18"/>
                <w:szCs w:val="18"/>
              </w:rPr>
            </w:pPr>
          </w:p>
        </w:tc>
      </w:tr>
    </w:tbl>
    <w:p w:rsidR="0037178B" w:rsidRDefault="0037178B" w:rsidP="00274A37">
      <w:pPr>
        <w:autoSpaceDE w:val="0"/>
        <w:autoSpaceDN w:val="0"/>
        <w:adjustRightInd w:val="0"/>
        <w:jc w:val="center"/>
        <w:rPr>
          <w:b/>
          <w:bCs/>
          <w:sz w:val="22"/>
          <w:szCs w:val="22"/>
        </w:rPr>
      </w:pPr>
    </w:p>
    <w:p w:rsidR="003E4174" w:rsidRPr="00362E9A" w:rsidRDefault="003E4174" w:rsidP="003E4174">
      <w:pPr>
        <w:autoSpaceDE w:val="0"/>
        <w:autoSpaceDN w:val="0"/>
        <w:adjustRightInd w:val="0"/>
        <w:jc w:val="center"/>
        <w:rPr>
          <w:b/>
          <w:bCs/>
          <w:sz w:val="22"/>
          <w:szCs w:val="22"/>
        </w:rPr>
      </w:pPr>
      <w:r>
        <w:rPr>
          <w:b/>
          <w:bCs/>
          <w:sz w:val="22"/>
          <w:szCs w:val="22"/>
        </w:rPr>
        <w:t>International Journal of Business and Management Science</w:t>
      </w:r>
    </w:p>
    <w:p w:rsidR="00A14AD5" w:rsidRPr="00704041" w:rsidRDefault="00A14AD5" w:rsidP="00A14AD5">
      <w:pPr>
        <w:jc w:val="center"/>
        <w:rPr>
          <w:sz w:val="22"/>
          <w:szCs w:val="22"/>
        </w:rPr>
      </w:pPr>
      <w:r w:rsidRPr="00704041">
        <w:rPr>
          <w:sz w:val="22"/>
          <w:szCs w:val="22"/>
        </w:rPr>
        <w:t>Chief Editor: Mohammad Safa</w:t>
      </w:r>
    </w:p>
    <w:p w:rsidR="00A14AD5" w:rsidRPr="00704041" w:rsidRDefault="00A14AD5" w:rsidP="00A14AD5">
      <w:pPr>
        <w:jc w:val="center"/>
        <w:rPr>
          <w:sz w:val="22"/>
          <w:szCs w:val="22"/>
        </w:rPr>
      </w:pPr>
      <w:proofErr w:type="spellStart"/>
      <w:r w:rsidRPr="00704041">
        <w:rPr>
          <w:sz w:val="22"/>
          <w:szCs w:val="22"/>
        </w:rPr>
        <w:t>www.safaworld.org</w:t>
      </w:r>
      <w:proofErr w:type="spellEnd"/>
      <w:r w:rsidRPr="00704041">
        <w:rPr>
          <w:sz w:val="22"/>
          <w:szCs w:val="22"/>
        </w:rPr>
        <w:t>/</w:t>
      </w:r>
      <w:proofErr w:type="spellStart"/>
      <w:r w:rsidRPr="00704041">
        <w:rPr>
          <w:sz w:val="22"/>
          <w:szCs w:val="22"/>
        </w:rPr>
        <w:t>ijbms</w:t>
      </w:r>
      <w:bookmarkStart w:id="0" w:name="_Hlk496992915"/>
      <w:proofErr w:type="spellEnd"/>
      <w:r w:rsidR="000B0092" w:rsidRPr="002A6E41">
        <w:rPr>
          <w:rStyle w:val="FootnoteReference"/>
          <w:sz w:val="22"/>
          <w:szCs w:val="22"/>
        </w:rPr>
        <w:footnoteReference w:id="1"/>
      </w:r>
      <w:r w:rsidR="000B0092" w:rsidRPr="002A6E41">
        <w:rPr>
          <w:rStyle w:val="FootnoteReference"/>
          <w:sz w:val="22"/>
          <w:szCs w:val="22"/>
        </w:rPr>
        <w:footnoteReference w:id="2"/>
      </w:r>
      <w:bookmarkEnd w:id="0"/>
    </w:p>
    <w:p w:rsidR="000C3CD0" w:rsidRPr="00704041" w:rsidRDefault="000C3CD0" w:rsidP="00274A37">
      <w:pPr>
        <w:jc w:val="center"/>
        <w:rPr>
          <w:sz w:val="22"/>
          <w:szCs w:val="22"/>
        </w:rPr>
      </w:pPr>
    </w:p>
    <w:p w:rsidR="00EE5AAC" w:rsidRPr="00704041" w:rsidRDefault="00EE5AAC" w:rsidP="00274A37">
      <w:pPr>
        <w:jc w:val="center"/>
        <w:rPr>
          <w:sz w:val="22"/>
          <w:szCs w:val="22"/>
        </w:rPr>
      </w:pPr>
    </w:p>
    <w:p w:rsidR="00561E96" w:rsidRPr="00DB5493" w:rsidRDefault="005327A6" w:rsidP="00561E96">
      <w:pPr>
        <w:contextualSpacing/>
        <w:jc w:val="center"/>
        <w:rPr>
          <w:rFonts w:ascii="Tahoma" w:hAnsi="Tahoma" w:cs="Tahoma"/>
          <w:b/>
          <w:sz w:val="28"/>
          <w:szCs w:val="28"/>
        </w:rPr>
      </w:pPr>
      <w:r w:rsidRPr="00DB5493">
        <w:rPr>
          <w:rFonts w:ascii="Tahoma" w:hAnsi="Tahoma" w:cs="Tahoma"/>
          <w:b/>
          <w:sz w:val="28"/>
          <w:szCs w:val="28"/>
        </w:rPr>
        <w:t xml:space="preserve">Strengthening PROPER Implementation to Improve Transparency in Managing Carbon Emission among Indonesian Manufacturing Companies </w:t>
      </w:r>
    </w:p>
    <w:p w:rsidR="00174FE8" w:rsidRPr="00DB5493" w:rsidRDefault="00174FE8" w:rsidP="00961548">
      <w:pPr>
        <w:jc w:val="center"/>
        <w:rPr>
          <w:b/>
          <w:color w:val="00B050"/>
          <w:sz w:val="28"/>
          <w:szCs w:val="28"/>
        </w:rPr>
      </w:pPr>
    </w:p>
    <w:p w:rsidR="00561E96" w:rsidRPr="00DB5493" w:rsidRDefault="00561E96" w:rsidP="00561E96">
      <w:pPr>
        <w:jc w:val="center"/>
        <w:rPr>
          <w:b/>
        </w:rPr>
      </w:pPr>
      <w:proofErr w:type="spellStart"/>
      <w:r w:rsidRPr="00DB5493">
        <w:rPr>
          <w:b/>
          <w:vertAlign w:val="superscript"/>
        </w:rPr>
        <w:t>a</w:t>
      </w:r>
      <w:r w:rsidR="00364415">
        <w:rPr>
          <w:b/>
          <w:vertAlign w:val="superscript"/>
        </w:rPr>
        <w:t>xxxxxx</w:t>
      </w:r>
      <w:r w:rsidRPr="00DB5493">
        <w:rPr>
          <w:b/>
        </w:rPr>
        <w:t>to</w:t>
      </w:r>
      <w:proofErr w:type="spellEnd"/>
      <w:r w:rsidRPr="00DB5493">
        <w:rPr>
          <w:b/>
        </w:rPr>
        <w:t>*</w:t>
      </w:r>
      <w:r w:rsidR="008D2E29">
        <w:rPr>
          <w:b/>
        </w:rPr>
        <w:t xml:space="preserve">, </w:t>
      </w:r>
      <w:proofErr w:type="spellStart"/>
      <w:r w:rsidRPr="00DB5493">
        <w:rPr>
          <w:b/>
          <w:vertAlign w:val="superscript"/>
        </w:rPr>
        <w:t>b</w:t>
      </w:r>
      <w:r w:rsidRPr="00DB5493">
        <w:rPr>
          <w:b/>
        </w:rPr>
        <w:t>I</w:t>
      </w:r>
      <w:r w:rsidR="00364415">
        <w:rPr>
          <w:b/>
        </w:rPr>
        <w:t>xxxxx</w:t>
      </w:r>
      <w:r w:rsidRPr="00DB5493">
        <w:rPr>
          <w:b/>
        </w:rPr>
        <w:t>san</w:t>
      </w:r>
      <w:proofErr w:type="spellEnd"/>
      <w:r w:rsidRPr="00DB5493">
        <w:rPr>
          <w:b/>
        </w:rPr>
        <w:t xml:space="preserve">, </w:t>
      </w:r>
      <w:proofErr w:type="spellStart"/>
      <w:r w:rsidRPr="00DB5493">
        <w:rPr>
          <w:b/>
          <w:vertAlign w:val="superscript"/>
        </w:rPr>
        <w:t>c</w:t>
      </w:r>
      <w:r w:rsidR="00364415">
        <w:rPr>
          <w:b/>
        </w:rPr>
        <w:t>Dxxxxx</w:t>
      </w:r>
      <w:r w:rsidRPr="00DB5493">
        <w:rPr>
          <w:b/>
        </w:rPr>
        <w:t>am</w:t>
      </w:r>
      <w:proofErr w:type="spellEnd"/>
      <w:r w:rsidRPr="00DB5493">
        <w:rPr>
          <w:b/>
        </w:rPr>
        <w:t xml:space="preserve">, </w:t>
      </w:r>
      <w:proofErr w:type="spellStart"/>
      <w:r w:rsidRPr="00DB5493">
        <w:rPr>
          <w:b/>
          <w:vertAlign w:val="superscript"/>
        </w:rPr>
        <w:t>d</w:t>
      </w:r>
      <w:r w:rsidRPr="00DB5493">
        <w:rPr>
          <w:b/>
        </w:rPr>
        <w:t>R</w:t>
      </w:r>
      <w:r w:rsidR="00364415">
        <w:rPr>
          <w:b/>
        </w:rPr>
        <w:t>xxxxx</w:t>
      </w:r>
      <w:r w:rsidRPr="00DB5493">
        <w:rPr>
          <w:b/>
        </w:rPr>
        <w:t>i</w:t>
      </w:r>
      <w:proofErr w:type="spellEnd"/>
    </w:p>
    <w:p w:rsidR="00EB7D17" w:rsidRPr="005B12AD" w:rsidRDefault="00EB7D17" w:rsidP="00174FE8">
      <w:pPr>
        <w:tabs>
          <w:tab w:val="left" w:pos="2865"/>
          <w:tab w:val="left" w:pos="3180"/>
          <w:tab w:val="left" w:pos="9360"/>
        </w:tabs>
        <w:jc w:val="center"/>
        <w:rPr>
          <w:b/>
        </w:rPr>
      </w:pPr>
    </w:p>
    <w:p w:rsidR="00561E96" w:rsidRPr="00C529A9" w:rsidRDefault="007B10EB" w:rsidP="00561E96">
      <w:pPr>
        <w:jc w:val="center"/>
        <w:rPr>
          <w:sz w:val="22"/>
          <w:szCs w:val="22"/>
        </w:rPr>
      </w:pPr>
      <w:bookmarkStart w:id="1" w:name="_Hlk496950164"/>
      <w:proofErr w:type="spellStart"/>
      <w:r w:rsidRPr="00C529A9">
        <w:rPr>
          <w:sz w:val="22"/>
          <w:szCs w:val="22"/>
          <w:vertAlign w:val="superscript"/>
        </w:rPr>
        <w:t>a</w:t>
      </w:r>
      <w:r w:rsidR="00561E96" w:rsidRPr="00C529A9">
        <w:rPr>
          <w:sz w:val="22"/>
          <w:szCs w:val="22"/>
          <w:vertAlign w:val="superscript"/>
        </w:rPr>
        <w:t>bd</w:t>
      </w:r>
      <w:proofErr w:type="spellEnd"/>
      <w:r w:rsidR="00561E96" w:rsidRPr="00C529A9">
        <w:rPr>
          <w:sz w:val="22"/>
          <w:szCs w:val="22"/>
          <w:vertAlign w:val="superscript"/>
        </w:rPr>
        <w:t xml:space="preserve"> </w:t>
      </w:r>
      <w:r w:rsidR="00561E96" w:rsidRPr="00C529A9">
        <w:rPr>
          <w:sz w:val="22"/>
          <w:szCs w:val="22"/>
        </w:rPr>
        <w:t>Fa</w:t>
      </w:r>
      <w:r w:rsidR="00DB5493" w:rsidRPr="00C529A9">
        <w:rPr>
          <w:sz w:val="22"/>
          <w:szCs w:val="22"/>
        </w:rPr>
        <w:t>culty of Economics</w:t>
      </w:r>
      <w:r w:rsidR="00561E96" w:rsidRPr="00C529A9">
        <w:rPr>
          <w:sz w:val="22"/>
          <w:szCs w:val="22"/>
        </w:rPr>
        <w:t xml:space="preserve">, </w:t>
      </w:r>
      <w:r w:rsidR="00F258EB" w:rsidRPr="00C529A9">
        <w:rPr>
          <w:sz w:val="22"/>
          <w:szCs w:val="22"/>
          <w:shd w:val="clear" w:color="auto" w:fill="FFFFFF"/>
        </w:rPr>
        <w:t>Semarang State University</w:t>
      </w:r>
      <w:r w:rsidR="00561E96" w:rsidRPr="00C529A9">
        <w:rPr>
          <w:sz w:val="22"/>
          <w:szCs w:val="22"/>
        </w:rPr>
        <w:t>, Semarang, Indonesia</w:t>
      </w:r>
    </w:p>
    <w:p w:rsidR="00561E96" w:rsidRPr="00DB5493" w:rsidRDefault="00561E96" w:rsidP="001E34FA">
      <w:pPr>
        <w:jc w:val="center"/>
        <w:rPr>
          <w:sz w:val="22"/>
          <w:szCs w:val="22"/>
        </w:rPr>
      </w:pPr>
      <w:proofErr w:type="spellStart"/>
      <w:r w:rsidRPr="00DB5493">
        <w:rPr>
          <w:b/>
          <w:sz w:val="22"/>
          <w:szCs w:val="22"/>
          <w:vertAlign w:val="superscript"/>
        </w:rPr>
        <w:t>c</w:t>
      </w:r>
      <w:r w:rsidRPr="00DB5493">
        <w:rPr>
          <w:sz w:val="22"/>
          <w:szCs w:val="22"/>
        </w:rPr>
        <w:t>Faculty</w:t>
      </w:r>
      <w:proofErr w:type="spellEnd"/>
      <w:r w:rsidRPr="00DB5493">
        <w:rPr>
          <w:sz w:val="22"/>
          <w:szCs w:val="22"/>
        </w:rPr>
        <w:t xml:space="preserve"> of Technology Management and </w:t>
      </w:r>
      <w:proofErr w:type="spellStart"/>
      <w:r w:rsidRPr="00DB5493">
        <w:rPr>
          <w:sz w:val="22"/>
          <w:szCs w:val="22"/>
        </w:rPr>
        <w:t>Technopreneurship</w:t>
      </w:r>
      <w:proofErr w:type="spellEnd"/>
      <w:r w:rsidRPr="00DB5493">
        <w:rPr>
          <w:sz w:val="22"/>
          <w:szCs w:val="22"/>
        </w:rPr>
        <w:t xml:space="preserve">, </w:t>
      </w:r>
      <w:r w:rsidR="00DB5493">
        <w:rPr>
          <w:sz w:val="22"/>
          <w:szCs w:val="22"/>
        </w:rPr>
        <w:t xml:space="preserve">Technology University of </w:t>
      </w:r>
      <w:r w:rsidRPr="00DB5493">
        <w:rPr>
          <w:sz w:val="22"/>
          <w:szCs w:val="22"/>
        </w:rPr>
        <w:t>Malaysia</w:t>
      </w:r>
      <w:r w:rsidR="00DB5493">
        <w:rPr>
          <w:sz w:val="22"/>
          <w:szCs w:val="22"/>
        </w:rPr>
        <w:t>,</w:t>
      </w:r>
      <w:r w:rsidRPr="00DB5493">
        <w:rPr>
          <w:sz w:val="22"/>
          <w:szCs w:val="22"/>
        </w:rPr>
        <w:t xml:space="preserve"> Melaka</w:t>
      </w:r>
    </w:p>
    <w:p w:rsidR="00704041" w:rsidRPr="00561E96" w:rsidRDefault="00704041" w:rsidP="001E34FA">
      <w:pPr>
        <w:spacing w:before="120"/>
        <w:jc w:val="center"/>
        <w:rPr>
          <w:sz w:val="20"/>
          <w:szCs w:val="20"/>
        </w:rPr>
      </w:pPr>
      <w:r w:rsidRPr="00561E96">
        <w:rPr>
          <w:sz w:val="20"/>
          <w:szCs w:val="20"/>
        </w:rPr>
        <w:t>*Corresponding author:</w:t>
      </w:r>
      <w:r w:rsidR="00561E96" w:rsidRPr="00561E96">
        <w:rPr>
          <w:sz w:val="20"/>
          <w:szCs w:val="20"/>
        </w:rPr>
        <w:t xml:space="preserve"> </w:t>
      </w:r>
      <w:proofErr w:type="spellStart"/>
      <w:r w:rsidR="00BB6518">
        <w:rPr>
          <w:sz w:val="20"/>
          <w:szCs w:val="20"/>
        </w:rPr>
        <w:t>xxxxxx</w:t>
      </w:r>
      <w:r w:rsidR="00561E96" w:rsidRPr="00561E96">
        <w:rPr>
          <w:sz w:val="20"/>
          <w:szCs w:val="20"/>
        </w:rPr>
        <w:t>@mail.unnes.ac.id</w:t>
      </w:r>
      <w:proofErr w:type="spellEnd"/>
      <w:r w:rsidRPr="00561E96">
        <w:rPr>
          <w:b/>
          <w:noProof/>
          <w:sz w:val="20"/>
          <w:szCs w:val="20"/>
        </w:rPr>
        <w:drawing>
          <wp:inline distT="0" distB="0" distL="0" distR="0">
            <wp:extent cx="196850" cy="1206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96850" cy="120650"/>
                    </a:xfrm>
                    <a:prstGeom prst="rect">
                      <a:avLst/>
                    </a:prstGeom>
                    <a:noFill/>
                    <a:ln w="9525">
                      <a:noFill/>
                      <a:miter lim="800000"/>
                      <a:headEnd/>
                      <a:tailEnd/>
                    </a:ln>
                  </pic:spPr>
                </pic:pic>
              </a:graphicData>
            </a:graphic>
          </wp:inline>
        </w:drawing>
      </w:r>
    </w:p>
    <w:bookmarkEnd w:id="1"/>
    <w:p w:rsidR="00E7484A" w:rsidRPr="00704041" w:rsidRDefault="00E7484A" w:rsidP="00961548">
      <w:pPr>
        <w:tabs>
          <w:tab w:val="left" w:pos="1350"/>
        </w:tabs>
        <w:autoSpaceDE w:val="0"/>
        <w:autoSpaceDN w:val="0"/>
        <w:jc w:val="center"/>
        <w:rPr>
          <w:b/>
          <w:bCs/>
          <w:sz w:val="22"/>
          <w:szCs w:val="22"/>
        </w:rPr>
      </w:pPr>
    </w:p>
    <w:p w:rsidR="00561E96" w:rsidRPr="00DB5493" w:rsidRDefault="00561E96" w:rsidP="00561E96">
      <w:pPr>
        <w:ind w:left="284" w:right="284"/>
        <w:contextualSpacing/>
        <w:jc w:val="both"/>
        <w:rPr>
          <w:b/>
          <w:sz w:val="20"/>
          <w:szCs w:val="20"/>
        </w:rPr>
      </w:pPr>
      <w:r w:rsidRPr="00DB5493">
        <w:rPr>
          <w:b/>
          <w:sz w:val="20"/>
          <w:szCs w:val="20"/>
        </w:rPr>
        <w:t xml:space="preserve">Abstract: </w:t>
      </w:r>
      <w:r w:rsidRPr="00DB5493">
        <w:rPr>
          <w:sz w:val="20"/>
          <w:szCs w:val="20"/>
        </w:rPr>
        <w:t>Corporate Performance</w:t>
      </w:r>
      <w:r w:rsidR="006E25BD" w:rsidRPr="00DB5493">
        <w:rPr>
          <w:sz w:val="20"/>
          <w:szCs w:val="20"/>
        </w:rPr>
        <w:t xml:space="preserve"> </w:t>
      </w:r>
      <w:r w:rsidRPr="00DB5493">
        <w:rPr>
          <w:sz w:val="20"/>
          <w:szCs w:val="20"/>
        </w:rPr>
        <w:t xml:space="preserve">Evaluation Program (PROPER) </w:t>
      </w:r>
      <w:r w:rsidR="00E1674B" w:rsidRPr="00DB5493">
        <w:rPr>
          <w:sz w:val="20"/>
          <w:szCs w:val="20"/>
        </w:rPr>
        <w:t xml:space="preserve">has some objectives such as </w:t>
      </w:r>
      <w:r w:rsidR="00C870F2" w:rsidRPr="00DB5493">
        <w:rPr>
          <w:sz w:val="20"/>
          <w:szCs w:val="20"/>
        </w:rPr>
        <w:t xml:space="preserve">curbing </w:t>
      </w:r>
      <w:r w:rsidR="00E1674B" w:rsidRPr="00DB5493">
        <w:rPr>
          <w:sz w:val="20"/>
          <w:szCs w:val="20"/>
        </w:rPr>
        <w:t xml:space="preserve">carbon </w:t>
      </w:r>
      <w:r w:rsidRPr="00DB5493">
        <w:rPr>
          <w:sz w:val="20"/>
          <w:szCs w:val="20"/>
        </w:rPr>
        <w:t>emissions. This program evaluates and assigns ratings to the companies' performance in managing environment. This study aims to (1) examine the effects of environmental performance</w:t>
      </w:r>
      <w:r w:rsidR="005327A6" w:rsidRPr="00DB5493">
        <w:rPr>
          <w:sz w:val="20"/>
          <w:szCs w:val="20"/>
        </w:rPr>
        <w:t xml:space="preserve"> (</w:t>
      </w:r>
      <w:r w:rsidRPr="00DB5493">
        <w:rPr>
          <w:sz w:val="20"/>
          <w:szCs w:val="20"/>
        </w:rPr>
        <w:t>PROPER rating</w:t>
      </w:r>
      <w:r w:rsidR="005327A6" w:rsidRPr="00DB5493">
        <w:rPr>
          <w:sz w:val="20"/>
          <w:szCs w:val="20"/>
        </w:rPr>
        <w:t xml:space="preserve">) </w:t>
      </w:r>
      <w:r w:rsidRPr="00DB5493">
        <w:rPr>
          <w:sz w:val="20"/>
          <w:szCs w:val="20"/>
        </w:rPr>
        <w:t>on Carbon Emissions Disclosure (</w:t>
      </w:r>
      <w:proofErr w:type="spellStart"/>
      <w:r w:rsidRPr="00DB5493">
        <w:rPr>
          <w:sz w:val="20"/>
          <w:szCs w:val="20"/>
        </w:rPr>
        <w:t>CED</w:t>
      </w:r>
      <w:proofErr w:type="spellEnd"/>
      <w:r w:rsidRPr="00DB5493">
        <w:rPr>
          <w:sz w:val="20"/>
          <w:szCs w:val="20"/>
        </w:rPr>
        <w:t xml:space="preserve">); and (2) identify the determinants of PROPER rating. Reckoning with carbon emissions checklist </w:t>
      </w:r>
      <w:r w:rsidR="006E25BD" w:rsidRPr="00DB5493">
        <w:rPr>
          <w:sz w:val="20"/>
          <w:szCs w:val="20"/>
        </w:rPr>
        <w:t xml:space="preserve">from </w:t>
      </w:r>
      <w:r w:rsidRPr="00DB5493">
        <w:rPr>
          <w:sz w:val="20"/>
          <w:szCs w:val="20"/>
        </w:rPr>
        <w:t xml:space="preserve">Carbon Disclosure Project (CDP), data are gathered from 144 </w:t>
      </w:r>
      <w:r w:rsidR="006E25BD" w:rsidRPr="00DB5493">
        <w:rPr>
          <w:sz w:val="20"/>
          <w:szCs w:val="20"/>
        </w:rPr>
        <w:t>firms.</w:t>
      </w:r>
      <w:r w:rsidRPr="00DB5493">
        <w:rPr>
          <w:sz w:val="20"/>
          <w:szCs w:val="20"/>
        </w:rPr>
        <w:t xml:space="preserve"> The average of </w:t>
      </w:r>
      <w:proofErr w:type="spellStart"/>
      <w:r w:rsidRPr="00DB5493">
        <w:rPr>
          <w:sz w:val="20"/>
          <w:szCs w:val="20"/>
        </w:rPr>
        <w:t>CED</w:t>
      </w:r>
      <w:proofErr w:type="spellEnd"/>
      <w:r w:rsidRPr="00DB5493">
        <w:rPr>
          <w:sz w:val="20"/>
          <w:szCs w:val="20"/>
        </w:rPr>
        <w:t xml:space="preserve"> among Indonesian manufacturing companies is still relatively low (24%). </w:t>
      </w:r>
      <w:r w:rsidR="00E1674B" w:rsidRPr="00DB5493">
        <w:rPr>
          <w:sz w:val="20"/>
          <w:szCs w:val="20"/>
        </w:rPr>
        <w:t xml:space="preserve">Path </w:t>
      </w:r>
      <w:r w:rsidRPr="00DB5493">
        <w:rPr>
          <w:sz w:val="20"/>
          <w:szCs w:val="20"/>
        </w:rPr>
        <w:t>analysis</w:t>
      </w:r>
      <w:r w:rsidR="00EE31F7" w:rsidRPr="00DB5493">
        <w:rPr>
          <w:sz w:val="20"/>
          <w:szCs w:val="20"/>
        </w:rPr>
        <w:t xml:space="preserve"> shows</w:t>
      </w:r>
      <w:r w:rsidRPr="00DB5493">
        <w:rPr>
          <w:sz w:val="20"/>
          <w:szCs w:val="20"/>
        </w:rPr>
        <w:t xml:space="preserve"> that </w:t>
      </w:r>
      <w:proofErr w:type="spellStart"/>
      <w:r w:rsidRPr="00DB5493">
        <w:rPr>
          <w:sz w:val="20"/>
          <w:szCs w:val="20"/>
        </w:rPr>
        <w:t>CED</w:t>
      </w:r>
      <w:proofErr w:type="spellEnd"/>
      <w:r w:rsidRPr="00DB5493">
        <w:rPr>
          <w:sz w:val="20"/>
          <w:szCs w:val="20"/>
        </w:rPr>
        <w:t xml:space="preserve"> is influenced by PROPER rating and Board Size, but not by Leverage and Profitability. Board Size and Profitability are important determinants of PROPER rat</w:t>
      </w:r>
      <w:r w:rsidRPr="00DB5493">
        <w:rPr>
          <w:sz w:val="20"/>
          <w:szCs w:val="20"/>
        </w:rPr>
        <w:softHyphen/>
      </w:r>
      <w:r w:rsidRPr="00DB5493">
        <w:rPr>
          <w:sz w:val="20"/>
          <w:szCs w:val="20"/>
        </w:rPr>
        <w:softHyphen/>
      </w:r>
      <w:r w:rsidRPr="00DB5493">
        <w:rPr>
          <w:sz w:val="20"/>
          <w:szCs w:val="20"/>
        </w:rPr>
        <w:softHyphen/>
      </w:r>
      <w:r w:rsidRPr="00DB5493">
        <w:rPr>
          <w:sz w:val="20"/>
          <w:szCs w:val="20"/>
        </w:rPr>
        <w:softHyphen/>
        <w:t xml:space="preserve">ing, but Leverage and Company Size are not. PROPER is </w:t>
      </w:r>
      <w:r w:rsidR="0065481D" w:rsidRPr="00DB5493">
        <w:rPr>
          <w:sz w:val="20"/>
          <w:szCs w:val="20"/>
        </w:rPr>
        <w:t xml:space="preserve">considered </w:t>
      </w:r>
      <w:r w:rsidRPr="00DB5493">
        <w:rPr>
          <w:sz w:val="20"/>
          <w:szCs w:val="20"/>
        </w:rPr>
        <w:t>effective to improve companies’ transparency in managing carbon emissions</w:t>
      </w:r>
      <w:r w:rsidR="006E25BD" w:rsidRPr="00DB5493">
        <w:rPr>
          <w:sz w:val="20"/>
          <w:szCs w:val="20"/>
        </w:rPr>
        <w:t xml:space="preserve"> </w:t>
      </w:r>
      <w:r w:rsidR="0065481D" w:rsidRPr="00DB5493">
        <w:rPr>
          <w:sz w:val="20"/>
          <w:szCs w:val="20"/>
        </w:rPr>
        <w:t xml:space="preserve">among Indonesian manufacturing companies. </w:t>
      </w:r>
    </w:p>
    <w:p w:rsidR="00561E96" w:rsidRPr="00561E96" w:rsidRDefault="00561E96" w:rsidP="00561E96">
      <w:pPr>
        <w:ind w:left="284" w:right="284"/>
        <w:contextualSpacing/>
        <w:jc w:val="both"/>
        <w:rPr>
          <w:b/>
          <w:sz w:val="20"/>
          <w:szCs w:val="20"/>
        </w:rPr>
      </w:pPr>
    </w:p>
    <w:p w:rsidR="00561E96" w:rsidRPr="00561E96" w:rsidRDefault="00561E96" w:rsidP="00561E96">
      <w:pPr>
        <w:ind w:left="284" w:right="284"/>
        <w:contextualSpacing/>
        <w:jc w:val="both"/>
        <w:rPr>
          <w:b/>
          <w:sz w:val="20"/>
          <w:szCs w:val="20"/>
        </w:rPr>
      </w:pPr>
      <w:r w:rsidRPr="00561E96">
        <w:rPr>
          <w:b/>
          <w:sz w:val="20"/>
          <w:szCs w:val="20"/>
        </w:rPr>
        <w:t xml:space="preserve">Keywords: </w:t>
      </w:r>
      <w:r w:rsidRPr="00561E96">
        <w:rPr>
          <w:sz w:val="20"/>
          <w:szCs w:val="20"/>
        </w:rPr>
        <w:t>Carbon Emission Disclosure</w:t>
      </w:r>
      <w:r w:rsidR="00CB5FD4">
        <w:rPr>
          <w:sz w:val="20"/>
          <w:szCs w:val="20"/>
        </w:rPr>
        <w:t>;</w:t>
      </w:r>
      <w:r w:rsidRPr="00561E96">
        <w:rPr>
          <w:sz w:val="20"/>
          <w:szCs w:val="20"/>
        </w:rPr>
        <w:t xml:space="preserve"> PROPER, Environmental Performance</w:t>
      </w:r>
      <w:r w:rsidR="00CB5FD4">
        <w:rPr>
          <w:sz w:val="20"/>
          <w:szCs w:val="20"/>
        </w:rPr>
        <w:t>;</w:t>
      </w:r>
      <w:r w:rsidRPr="00561E96">
        <w:rPr>
          <w:sz w:val="20"/>
          <w:szCs w:val="20"/>
        </w:rPr>
        <w:t xml:space="preserve"> Stakeholder Theory</w:t>
      </w:r>
      <w:r w:rsidR="00CB5FD4">
        <w:rPr>
          <w:sz w:val="20"/>
          <w:szCs w:val="20"/>
        </w:rPr>
        <w:t>;</w:t>
      </w:r>
      <w:r w:rsidRPr="00561E96">
        <w:rPr>
          <w:sz w:val="20"/>
          <w:szCs w:val="20"/>
        </w:rPr>
        <w:t xml:space="preserve"> Legitimacy Theory</w:t>
      </w:r>
    </w:p>
    <w:p w:rsidR="00DB5493" w:rsidRDefault="00DB5493" w:rsidP="00F22990">
      <w:pPr>
        <w:contextualSpacing/>
        <w:jc w:val="both"/>
        <w:rPr>
          <w:b/>
          <w:sz w:val="22"/>
          <w:szCs w:val="22"/>
        </w:rPr>
      </w:pPr>
    </w:p>
    <w:p w:rsidR="007B0D49" w:rsidRDefault="007B0D49" w:rsidP="00F22990">
      <w:pPr>
        <w:contextualSpacing/>
        <w:jc w:val="both"/>
        <w:rPr>
          <w:b/>
          <w:sz w:val="22"/>
          <w:szCs w:val="22"/>
        </w:rPr>
      </w:pPr>
    </w:p>
    <w:p w:rsidR="00364415" w:rsidRDefault="00364415" w:rsidP="00F22990">
      <w:pPr>
        <w:contextualSpacing/>
        <w:jc w:val="both"/>
        <w:rPr>
          <w:b/>
          <w:sz w:val="22"/>
          <w:szCs w:val="22"/>
        </w:rPr>
      </w:pPr>
    </w:p>
    <w:p w:rsidR="00364415" w:rsidRDefault="00364415" w:rsidP="00F22990">
      <w:pPr>
        <w:contextualSpacing/>
        <w:jc w:val="both"/>
        <w:rPr>
          <w:b/>
          <w:sz w:val="22"/>
          <w:szCs w:val="22"/>
        </w:rPr>
      </w:pPr>
    </w:p>
    <w:p w:rsidR="00364415" w:rsidRDefault="00364415" w:rsidP="00F22990">
      <w:pPr>
        <w:contextualSpacing/>
        <w:jc w:val="both"/>
        <w:rPr>
          <w:b/>
          <w:sz w:val="22"/>
          <w:szCs w:val="22"/>
        </w:rPr>
      </w:pPr>
    </w:p>
    <w:p w:rsidR="00F22990" w:rsidRPr="00CB5FD4" w:rsidRDefault="00F22990" w:rsidP="00F22990">
      <w:pPr>
        <w:contextualSpacing/>
        <w:jc w:val="both"/>
        <w:rPr>
          <w:b/>
          <w:sz w:val="22"/>
          <w:szCs w:val="22"/>
        </w:rPr>
      </w:pPr>
      <w:bookmarkStart w:id="2" w:name="_GoBack"/>
      <w:bookmarkEnd w:id="2"/>
      <w:r w:rsidRPr="00CB5FD4">
        <w:rPr>
          <w:b/>
          <w:sz w:val="22"/>
          <w:szCs w:val="22"/>
        </w:rPr>
        <w:lastRenderedPageBreak/>
        <w:t>INTRODUCTION</w:t>
      </w:r>
    </w:p>
    <w:p w:rsidR="00F22990" w:rsidRPr="00CB5FD4" w:rsidRDefault="00F22990" w:rsidP="00F22990">
      <w:pPr>
        <w:contextualSpacing/>
        <w:jc w:val="both"/>
        <w:rPr>
          <w:sz w:val="22"/>
          <w:szCs w:val="22"/>
        </w:rPr>
      </w:pPr>
    </w:p>
    <w:p w:rsidR="00F22990" w:rsidRPr="00CB5FD4" w:rsidRDefault="00F22990" w:rsidP="00F22990">
      <w:pPr>
        <w:contextualSpacing/>
        <w:jc w:val="both"/>
        <w:rPr>
          <w:sz w:val="22"/>
          <w:szCs w:val="22"/>
        </w:rPr>
      </w:pPr>
      <w:r w:rsidRPr="00CB5FD4">
        <w:rPr>
          <w:sz w:val="22"/>
          <w:szCs w:val="22"/>
        </w:rPr>
        <w:t xml:space="preserve">Global climate change is an international issue that needs to be solved comprehensively by all countries. Carbon emissions have been the main trigger of the ongoing global warming </w:t>
      </w:r>
      <w:r w:rsidRPr="00CB5FD4">
        <w:rPr>
          <w:noProof/>
          <w:sz w:val="22"/>
          <w:szCs w:val="22"/>
        </w:rPr>
        <w:t>(Solomon, Plattner, Knutti</w:t>
      </w:r>
      <w:r w:rsidR="00F17CAE" w:rsidRPr="00CB5FD4">
        <w:rPr>
          <w:noProof/>
          <w:sz w:val="22"/>
          <w:szCs w:val="22"/>
        </w:rPr>
        <w:t>,</w:t>
      </w:r>
      <w:r w:rsidRPr="00CB5FD4">
        <w:rPr>
          <w:noProof/>
          <w:sz w:val="22"/>
          <w:szCs w:val="22"/>
        </w:rPr>
        <w:t xml:space="preserve"> </w:t>
      </w:r>
      <w:r w:rsidR="00364207" w:rsidRPr="00CB5FD4">
        <w:rPr>
          <w:noProof/>
          <w:sz w:val="22"/>
          <w:szCs w:val="22"/>
        </w:rPr>
        <w:t xml:space="preserve">and </w:t>
      </w:r>
      <w:r w:rsidRPr="00CB5FD4">
        <w:rPr>
          <w:noProof/>
          <w:sz w:val="22"/>
          <w:szCs w:val="22"/>
        </w:rPr>
        <w:t>Friedlingstein, 2009)</w:t>
      </w:r>
      <w:r w:rsidRPr="00CB5FD4">
        <w:rPr>
          <w:sz w:val="22"/>
          <w:szCs w:val="22"/>
        </w:rPr>
        <w:t xml:space="preserve">. As a country inhabited by more than 250 million people, Indonesia ranked sixth on the list of top global emitters in the world with high intensity of carbon emissions </w:t>
      </w:r>
      <w:r w:rsidRPr="00CB5FD4">
        <w:rPr>
          <w:noProof/>
          <w:sz w:val="22"/>
          <w:szCs w:val="22"/>
        </w:rPr>
        <w:t xml:space="preserve">(Ge, Friedrich, </w:t>
      </w:r>
      <w:r w:rsidR="00364207" w:rsidRPr="00CB5FD4">
        <w:rPr>
          <w:noProof/>
          <w:sz w:val="22"/>
          <w:szCs w:val="22"/>
        </w:rPr>
        <w:t>and</w:t>
      </w:r>
      <w:r w:rsidRPr="00CB5FD4">
        <w:rPr>
          <w:noProof/>
          <w:sz w:val="22"/>
          <w:szCs w:val="22"/>
        </w:rPr>
        <w:t xml:space="preserve"> Damassa, 2014)</w:t>
      </w:r>
      <w:r w:rsidRPr="00CB5FD4">
        <w:rPr>
          <w:sz w:val="22"/>
          <w:szCs w:val="22"/>
        </w:rPr>
        <w:t xml:space="preserve">. In 1990, the country emitted as many as 0.16 billion tons of carbon and increased up to 0.49 billion tons in 2012 </w:t>
      </w:r>
      <w:r w:rsidRPr="00CB5FD4">
        <w:rPr>
          <w:noProof/>
          <w:sz w:val="22"/>
          <w:szCs w:val="22"/>
        </w:rPr>
        <w:t>(Oliver, Janssens-Maenhout, Muntean</w:t>
      </w:r>
      <w:r w:rsidR="00E51230" w:rsidRPr="00CB5FD4">
        <w:rPr>
          <w:noProof/>
          <w:sz w:val="22"/>
          <w:szCs w:val="22"/>
        </w:rPr>
        <w:t xml:space="preserve"> and</w:t>
      </w:r>
      <w:r w:rsidRPr="00CB5FD4">
        <w:rPr>
          <w:noProof/>
          <w:sz w:val="22"/>
          <w:szCs w:val="22"/>
        </w:rPr>
        <w:t xml:space="preserve"> Peters, 2013)</w:t>
      </w:r>
      <w:r w:rsidRPr="00CB5FD4">
        <w:rPr>
          <w:sz w:val="22"/>
          <w:szCs w:val="22"/>
        </w:rPr>
        <w:t>.</w:t>
      </w:r>
    </w:p>
    <w:p w:rsidR="00F22990" w:rsidRPr="00CB5FD4" w:rsidRDefault="00F22990" w:rsidP="00CB5FD4">
      <w:pPr>
        <w:ind w:firstLine="284"/>
        <w:contextualSpacing/>
        <w:jc w:val="both"/>
        <w:rPr>
          <w:sz w:val="22"/>
          <w:szCs w:val="22"/>
        </w:rPr>
      </w:pPr>
      <w:r w:rsidRPr="00CB5FD4">
        <w:rPr>
          <w:sz w:val="22"/>
          <w:szCs w:val="22"/>
        </w:rPr>
        <w:t xml:space="preserve">Inevitably, GDP growth and energy consumption have positive relationship meaning that a country with high GDP growth tends to have high energy consumption. Longitudinal research conducted in Mexico provides evidence that energy consumption has a significant influence on national income </w:t>
      </w:r>
      <w:r w:rsidRPr="00CB5FD4">
        <w:rPr>
          <w:noProof/>
          <w:sz w:val="22"/>
          <w:szCs w:val="22"/>
        </w:rPr>
        <w:t xml:space="preserve">(Arouri, Uddin, Chakraborty, Chaibi </w:t>
      </w:r>
      <w:r w:rsidR="00364207" w:rsidRPr="00CB5FD4">
        <w:rPr>
          <w:noProof/>
          <w:sz w:val="22"/>
          <w:szCs w:val="22"/>
        </w:rPr>
        <w:t>and</w:t>
      </w:r>
      <w:r w:rsidRPr="00CB5FD4">
        <w:rPr>
          <w:noProof/>
          <w:sz w:val="22"/>
          <w:szCs w:val="22"/>
        </w:rPr>
        <w:t xml:space="preserve"> Foulquier, 2014)</w:t>
      </w:r>
      <w:r w:rsidRPr="00CB5FD4">
        <w:rPr>
          <w:sz w:val="22"/>
          <w:szCs w:val="22"/>
        </w:rPr>
        <w:t xml:space="preserve">. Similarly, </w:t>
      </w:r>
      <w:r w:rsidRPr="00CB5FD4">
        <w:rPr>
          <w:noProof/>
          <w:sz w:val="22"/>
          <w:szCs w:val="22"/>
        </w:rPr>
        <w:t>Odhiambo (2012)</w:t>
      </w:r>
      <w:r w:rsidRPr="00CB5FD4">
        <w:rPr>
          <w:sz w:val="22"/>
          <w:szCs w:val="22"/>
        </w:rPr>
        <w:t xml:space="preserve"> finds that energy consumption in South Africa increases both carbon emissions and economic growth.</w:t>
      </w:r>
    </w:p>
    <w:p w:rsidR="00F22990" w:rsidRPr="00CB5FD4" w:rsidRDefault="00F22990" w:rsidP="00CB5FD4">
      <w:pPr>
        <w:ind w:firstLine="284"/>
        <w:contextualSpacing/>
        <w:jc w:val="both"/>
        <w:rPr>
          <w:sz w:val="22"/>
          <w:szCs w:val="22"/>
        </w:rPr>
      </w:pPr>
      <w:r w:rsidRPr="00CB5FD4">
        <w:rPr>
          <w:sz w:val="22"/>
          <w:szCs w:val="22"/>
        </w:rPr>
        <w:t xml:space="preserve">The development of industrial sectors in Indonesia also contributes significantly to carbon emissions. Statistical data issued by Netherlands Environmental Assessment Agency indicates that carbon emissions from Indonesia tend to gradually increase over years </w:t>
      </w:r>
      <w:r w:rsidRPr="00CB5FD4">
        <w:rPr>
          <w:noProof/>
          <w:sz w:val="22"/>
          <w:szCs w:val="22"/>
        </w:rPr>
        <w:t>(Oliver et al., 2013)</w:t>
      </w:r>
      <w:r w:rsidRPr="00CB5FD4">
        <w:rPr>
          <w:sz w:val="22"/>
          <w:szCs w:val="22"/>
        </w:rPr>
        <w:t xml:space="preserve">. Therefore, as substantial carbon emitters, firms should improve their environmental management and increase their transparency on environmental information </w:t>
      </w:r>
      <w:r w:rsidRPr="00CB5FD4">
        <w:rPr>
          <w:noProof/>
          <w:sz w:val="22"/>
          <w:szCs w:val="22"/>
        </w:rPr>
        <w:t xml:space="preserve">(Li, Zhao, Sun </w:t>
      </w:r>
      <w:r w:rsidR="00364207" w:rsidRPr="00CB5FD4">
        <w:rPr>
          <w:noProof/>
          <w:sz w:val="22"/>
          <w:szCs w:val="22"/>
        </w:rPr>
        <w:t>and</w:t>
      </w:r>
      <w:r w:rsidRPr="00CB5FD4">
        <w:rPr>
          <w:noProof/>
          <w:sz w:val="22"/>
          <w:szCs w:val="22"/>
        </w:rPr>
        <w:t xml:space="preserve"> Yin, 2017)</w:t>
      </w:r>
      <w:r w:rsidRPr="00CB5FD4">
        <w:rPr>
          <w:sz w:val="22"/>
          <w:szCs w:val="22"/>
        </w:rPr>
        <w:t>. In an attempt to overcome this problem, the government of Indonesia (</w:t>
      </w:r>
      <w:proofErr w:type="spellStart"/>
      <w:r w:rsidRPr="00CB5FD4">
        <w:rPr>
          <w:sz w:val="22"/>
          <w:szCs w:val="22"/>
        </w:rPr>
        <w:t>GOI</w:t>
      </w:r>
      <w:proofErr w:type="spellEnd"/>
      <w:r w:rsidRPr="00CB5FD4">
        <w:rPr>
          <w:sz w:val="22"/>
          <w:szCs w:val="22"/>
        </w:rPr>
        <w:t xml:space="preserve">) has ratified a pact to decrease carbon emissions by 26% in 2030 </w:t>
      </w:r>
      <w:r w:rsidRPr="00CB5FD4">
        <w:rPr>
          <w:noProof/>
          <w:sz w:val="22"/>
          <w:szCs w:val="22"/>
        </w:rPr>
        <w:t>(Goldenberg, 2015) and provide electricity</w:t>
      </w:r>
      <w:r w:rsidRPr="00CB5FD4">
        <w:rPr>
          <w:sz w:val="22"/>
          <w:szCs w:val="22"/>
        </w:rPr>
        <w:t xml:space="preserve"> from renewable sources by 2</w:t>
      </w:r>
      <w:r w:rsidR="00F02AF1" w:rsidRPr="00CB5FD4">
        <w:rPr>
          <w:sz w:val="22"/>
          <w:szCs w:val="22"/>
        </w:rPr>
        <w:t>3</w:t>
      </w:r>
      <w:r w:rsidRPr="00CB5FD4">
        <w:rPr>
          <w:sz w:val="22"/>
          <w:szCs w:val="22"/>
        </w:rPr>
        <w:t xml:space="preserve">% in 2025 </w:t>
      </w:r>
      <w:r w:rsidRPr="00CB5FD4">
        <w:rPr>
          <w:noProof/>
          <w:sz w:val="22"/>
          <w:szCs w:val="22"/>
        </w:rPr>
        <w:t>(</w:t>
      </w:r>
      <w:r w:rsidR="00F02AF1" w:rsidRPr="00CB5FD4">
        <w:rPr>
          <w:noProof/>
          <w:sz w:val="22"/>
          <w:szCs w:val="22"/>
        </w:rPr>
        <w:t>IRENA, 2017</w:t>
      </w:r>
      <w:r w:rsidRPr="00CB5FD4">
        <w:rPr>
          <w:noProof/>
          <w:sz w:val="22"/>
          <w:szCs w:val="22"/>
        </w:rPr>
        <w:t>)</w:t>
      </w:r>
      <w:r w:rsidRPr="00CB5FD4">
        <w:rPr>
          <w:sz w:val="22"/>
          <w:szCs w:val="22"/>
        </w:rPr>
        <w:t xml:space="preserve">. One of the strategies to manage carbon emissions, </w:t>
      </w:r>
      <w:proofErr w:type="spellStart"/>
      <w:r w:rsidRPr="00CB5FD4">
        <w:rPr>
          <w:sz w:val="22"/>
          <w:szCs w:val="22"/>
        </w:rPr>
        <w:t>GOI</w:t>
      </w:r>
      <w:proofErr w:type="spellEnd"/>
      <w:r w:rsidRPr="00CB5FD4">
        <w:rPr>
          <w:sz w:val="22"/>
          <w:szCs w:val="22"/>
        </w:rPr>
        <w:t xml:space="preserve"> implements Corporate Performance Evaluation Program (PROPER).</w:t>
      </w:r>
    </w:p>
    <w:p w:rsidR="00F22990" w:rsidRPr="00CB5FD4" w:rsidRDefault="00F22990" w:rsidP="00CB5FD4">
      <w:pPr>
        <w:ind w:firstLine="284"/>
        <w:contextualSpacing/>
        <w:jc w:val="both"/>
        <w:rPr>
          <w:sz w:val="22"/>
          <w:szCs w:val="22"/>
        </w:rPr>
      </w:pPr>
      <w:r w:rsidRPr="00CB5FD4">
        <w:rPr>
          <w:noProof/>
          <w:sz w:val="22"/>
          <w:szCs w:val="22"/>
        </w:rPr>
        <w:t>PROPER is a mechanism of evaluating firms in managing water, air and marine pollution, hazardous and poisonous waste and land degradation (KEMENLHK, 2015)</w:t>
      </w:r>
      <w:r w:rsidRPr="00CB5FD4">
        <w:rPr>
          <w:sz w:val="22"/>
          <w:szCs w:val="22"/>
        </w:rPr>
        <w:t>.</w:t>
      </w:r>
      <w:r w:rsidR="00401410" w:rsidRPr="00CB5FD4">
        <w:rPr>
          <w:sz w:val="22"/>
          <w:szCs w:val="22"/>
        </w:rPr>
        <w:t xml:space="preserve"> </w:t>
      </w:r>
      <w:r w:rsidRPr="00CB5FD4">
        <w:rPr>
          <w:sz w:val="22"/>
          <w:szCs w:val="22"/>
        </w:rPr>
        <w:t xml:space="preserve">Ministry of Environment and Forestry </w:t>
      </w:r>
      <w:r w:rsidRPr="00CB5FD4">
        <w:rPr>
          <w:noProof/>
          <w:sz w:val="22"/>
          <w:szCs w:val="22"/>
        </w:rPr>
        <w:t>(KEMENLHK)</w:t>
      </w:r>
      <w:r w:rsidRPr="00CB5FD4">
        <w:rPr>
          <w:sz w:val="22"/>
          <w:szCs w:val="22"/>
        </w:rPr>
        <w:t xml:space="preserve"> </w:t>
      </w:r>
      <w:r w:rsidRPr="00CB5FD4">
        <w:rPr>
          <w:noProof/>
          <w:sz w:val="22"/>
          <w:szCs w:val="22"/>
        </w:rPr>
        <w:t xml:space="preserve">has required all companies to implement PROPER in order to minimize negative impacts of manufacturing activities. In assessing </w:t>
      </w:r>
      <w:r w:rsidRPr="00CB5FD4">
        <w:rPr>
          <w:sz w:val="22"/>
          <w:szCs w:val="22"/>
        </w:rPr>
        <w:t xml:space="preserve">the companies’ environmental performance, the ministry employs guidelines and criteria based on the Ministry Regulation Number 06/2013 </w:t>
      </w:r>
      <w:r w:rsidRPr="00CB5FD4">
        <w:rPr>
          <w:noProof/>
          <w:sz w:val="22"/>
          <w:szCs w:val="22"/>
        </w:rPr>
        <w:t>(MENKLH, 2013)</w:t>
      </w:r>
      <w:r w:rsidRPr="00CB5FD4">
        <w:rPr>
          <w:sz w:val="22"/>
          <w:szCs w:val="22"/>
        </w:rPr>
        <w:t xml:space="preserve">. As a result, the program could curb carbon emissions produced from firms as many as 38.9 million tons in 2015 </w:t>
      </w:r>
      <w:r w:rsidRPr="00CB5FD4">
        <w:rPr>
          <w:noProof/>
          <w:sz w:val="22"/>
          <w:szCs w:val="22"/>
        </w:rPr>
        <w:t>(</w:t>
      </w:r>
      <w:r w:rsidR="00CE7A35" w:rsidRPr="00CB5FD4">
        <w:rPr>
          <w:noProof/>
          <w:sz w:val="22"/>
          <w:szCs w:val="22"/>
        </w:rPr>
        <w:t>KEMENKLH, 2015</w:t>
      </w:r>
      <w:r w:rsidRPr="00CB5FD4">
        <w:rPr>
          <w:noProof/>
          <w:sz w:val="22"/>
          <w:szCs w:val="22"/>
        </w:rPr>
        <w:t>). Under the Indonesian law No 32/2009 article 68, all firms are obligated to be responsible to the environment. In 2015, the government have performed evaluations on 2,137 companies (KEMENLHK, 2015)</w:t>
      </w:r>
      <w:r w:rsidRPr="00CB5FD4">
        <w:rPr>
          <w:sz w:val="22"/>
          <w:szCs w:val="22"/>
        </w:rPr>
        <w:t>. Under PROPER, a polluter is assigned one of five color ratings which are gold as excellent, green as good, blue as adequate, red as poor and black as very poor in managing environment.</w:t>
      </w:r>
    </w:p>
    <w:p w:rsidR="00F22990" w:rsidRPr="00CB5FD4" w:rsidRDefault="00F22990" w:rsidP="00CB5FD4">
      <w:pPr>
        <w:ind w:firstLine="284"/>
        <w:contextualSpacing/>
        <w:jc w:val="both"/>
        <w:rPr>
          <w:sz w:val="22"/>
          <w:szCs w:val="22"/>
        </w:rPr>
      </w:pPr>
      <w:r w:rsidRPr="00CB5FD4">
        <w:rPr>
          <w:sz w:val="22"/>
          <w:szCs w:val="22"/>
        </w:rPr>
        <w:t xml:space="preserve">There are two objectives of the study </w:t>
      </w:r>
      <w:r w:rsidRPr="00CB5FD4">
        <w:rPr>
          <w:i/>
          <w:sz w:val="22"/>
          <w:szCs w:val="22"/>
        </w:rPr>
        <w:t>i.e.</w:t>
      </w:r>
      <w:r w:rsidRPr="00CB5FD4">
        <w:rPr>
          <w:sz w:val="22"/>
          <w:szCs w:val="22"/>
        </w:rPr>
        <w:t xml:space="preserve"> to understand the effectiveness of PROPER—as a proxy of environmental performance—in promoting manufacturing companies to report carbon emissions in their annual financial statements and to identify the determinants of PROPER among Indonesian manufacturing companies. Providing adequate information on carbon emission in annual reports is a form of corporate responsibility towards environment and communities. The delivery of this information aims at gaining legitimacy from the public </w:t>
      </w:r>
      <w:r w:rsidRPr="00CB5FD4">
        <w:rPr>
          <w:noProof/>
          <w:sz w:val="22"/>
          <w:szCs w:val="22"/>
        </w:rPr>
        <w:t xml:space="preserve">(Dowling </w:t>
      </w:r>
      <w:r w:rsidR="00E51230" w:rsidRPr="00CB5FD4">
        <w:rPr>
          <w:noProof/>
          <w:sz w:val="22"/>
          <w:szCs w:val="22"/>
        </w:rPr>
        <w:t>and</w:t>
      </w:r>
      <w:r w:rsidRPr="00CB5FD4">
        <w:rPr>
          <w:noProof/>
          <w:sz w:val="22"/>
          <w:szCs w:val="22"/>
        </w:rPr>
        <w:t xml:space="preserve"> Pfeffer, 1975)</w:t>
      </w:r>
      <w:r w:rsidRPr="00CB5FD4">
        <w:rPr>
          <w:sz w:val="22"/>
          <w:szCs w:val="22"/>
        </w:rPr>
        <w:t xml:space="preserve">. </w:t>
      </w:r>
      <w:r w:rsidRPr="00CB5FD4">
        <w:rPr>
          <w:sz w:val="22"/>
          <w:szCs w:val="22"/>
        </w:rPr>
        <w:lastRenderedPageBreak/>
        <w:t xml:space="preserve">In addition, conveying this message also means that the company provides benefits to the stakeholders </w:t>
      </w:r>
      <w:r w:rsidRPr="00CB5FD4">
        <w:rPr>
          <w:noProof/>
          <w:sz w:val="22"/>
          <w:szCs w:val="22"/>
        </w:rPr>
        <w:t>(Freeman, 1984)</w:t>
      </w:r>
      <w:r w:rsidRPr="00CB5FD4">
        <w:rPr>
          <w:sz w:val="22"/>
          <w:szCs w:val="22"/>
        </w:rPr>
        <w:t xml:space="preserve">. It is important for the company to do so, since the communities are becoming more aware of environmental sustainability and willing to purchase green product </w:t>
      </w:r>
      <w:r w:rsidR="000A299D" w:rsidRPr="00CB5FD4">
        <w:rPr>
          <w:noProof/>
          <w:sz w:val="22"/>
          <w:szCs w:val="22"/>
        </w:rPr>
        <w:t>(Genoveva, 2016</w:t>
      </w:r>
      <w:r w:rsidRPr="00CB5FD4">
        <w:rPr>
          <w:noProof/>
          <w:sz w:val="22"/>
          <w:szCs w:val="22"/>
        </w:rPr>
        <w:t>)</w:t>
      </w:r>
      <w:r w:rsidRPr="00CB5FD4">
        <w:rPr>
          <w:sz w:val="22"/>
          <w:szCs w:val="22"/>
        </w:rPr>
        <w:t xml:space="preserve">. The communities also have started switching to green products for their daily consumption </w:t>
      </w:r>
      <w:r w:rsidRPr="00CB5FD4">
        <w:rPr>
          <w:noProof/>
          <w:sz w:val="22"/>
          <w:szCs w:val="22"/>
        </w:rPr>
        <w:t>(</w:t>
      </w:r>
      <w:r w:rsidR="009C7180" w:rsidRPr="00CB5FD4">
        <w:rPr>
          <w:noProof/>
          <w:sz w:val="22"/>
          <w:szCs w:val="22"/>
        </w:rPr>
        <w:t>Handriana, 2016</w:t>
      </w:r>
      <w:r w:rsidRPr="00CB5FD4">
        <w:rPr>
          <w:noProof/>
          <w:sz w:val="22"/>
          <w:szCs w:val="22"/>
        </w:rPr>
        <w:t>)</w:t>
      </w:r>
      <w:r w:rsidRPr="00CB5FD4">
        <w:rPr>
          <w:sz w:val="22"/>
          <w:szCs w:val="22"/>
        </w:rPr>
        <w:t>.</w:t>
      </w:r>
    </w:p>
    <w:p w:rsidR="00F22990" w:rsidRPr="00CB5FD4" w:rsidRDefault="00F22990" w:rsidP="00CB5FD4">
      <w:pPr>
        <w:ind w:firstLine="284"/>
        <w:contextualSpacing/>
        <w:jc w:val="both"/>
        <w:rPr>
          <w:sz w:val="22"/>
          <w:szCs w:val="22"/>
        </w:rPr>
      </w:pPr>
      <w:r w:rsidRPr="00CB5FD4">
        <w:rPr>
          <w:sz w:val="22"/>
          <w:szCs w:val="22"/>
        </w:rPr>
        <w:t xml:space="preserve">Prior studies investigate some possible factors influencing Carbon Emission Disclosure </w:t>
      </w:r>
      <w:r w:rsidR="00292CF9" w:rsidRPr="00CB5FD4">
        <w:rPr>
          <w:sz w:val="22"/>
          <w:szCs w:val="22"/>
        </w:rPr>
        <w:t>(</w:t>
      </w:r>
      <w:proofErr w:type="spellStart"/>
      <w:r w:rsidRPr="00CB5FD4">
        <w:rPr>
          <w:sz w:val="22"/>
          <w:szCs w:val="22"/>
        </w:rPr>
        <w:t>CED</w:t>
      </w:r>
      <w:proofErr w:type="spellEnd"/>
      <w:r w:rsidRPr="00CB5FD4">
        <w:rPr>
          <w:sz w:val="22"/>
          <w:szCs w:val="22"/>
        </w:rPr>
        <w:t xml:space="preserve">) of companies, such as those conducted by </w:t>
      </w:r>
      <w:proofErr w:type="spellStart"/>
      <w:r w:rsidR="0040602D" w:rsidRPr="00CB5FD4">
        <w:rPr>
          <w:sz w:val="22"/>
          <w:szCs w:val="22"/>
        </w:rPr>
        <w:t>Akhiroh</w:t>
      </w:r>
      <w:proofErr w:type="spellEnd"/>
      <w:r w:rsidR="0040602D" w:rsidRPr="00CB5FD4">
        <w:rPr>
          <w:sz w:val="22"/>
          <w:szCs w:val="22"/>
        </w:rPr>
        <w:t xml:space="preserve"> and </w:t>
      </w:r>
      <w:proofErr w:type="spellStart"/>
      <w:r w:rsidR="0040602D" w:rsidRPr="00CB5FD4">
        <w:rPr>
          <w:sz w:val="22"/>
          <w:szCs w:val="22"/>
        </w:rPr>
        <w:t>Kiswanto</w:t>
      </w:r>
      <w:proofErr w:type="spellEnd"/>
      <w:r w:rsidR="0040602D" w:rsidRPr="00CB5FD4">
        <w:rPr>
          <w:sz w:val="22"/>
          <w:szCs w:val="22"/>
        </w:rPr>
        <w:t xml:space="preserve"> </w:t>
      </w:r>
      <w:r w:rsidR="0040602D" w:rsidRPr="00CB5FD4">
        <w:rPr>
          <w:noProof/>
          <w:sz w:val="22"/>
          <w:szCs w:val="22"/>
        </w:rPr>
        <w:t>(2016</w:t>
      </w:r>
      <w:r w:rsidRPr="00CB5FD4">
        <w:rPr>
          <w:noProof/>
          <w:sz w:val="22"/>
          <w:szCs w:val="22"/>
        </w:rPr>
        <w:t>)</w:t>
      </w:r>
      <w:r w:rsidRPr="00CB5FD4">
        <w:rPr>
          <w:sz w:val="22"/>
          <w:szCs w:val="22"/>
        </w:rPr>
        <w:t xml:space="preserve">, </w:t>
      </w:r>
      <w:r w:rsidRPr="00CB5FD4">
        <w:rPr>
          <w:noProof/>
          <w:sz w:val="22"/>
          <w:szCs w:val="22"/>
        </w:rPr>
        <w:t>Bae Choi, Lee and Psaros (2013)</w:t>
      </w:r>
      <w:r w:rsidRPr="00CB5FD4">
        <w:rPr>
          <w:sz w:val="22"/>
          <w:szCs w:val="22"/>
        </w:rPr>
        <w:t xml:space="preserve">, </w:t>
      </w:r>
      <w:r w:rsidR="007B7DA8" w:rsidRPr="00CB5FD4">
        <w:rPr>
          <w:sz w:val="22"/>
          <w:szCs w:val="22"/>
        </w:rPr>
        <w:t xml:space="preserve">Kusuma, </w:t>
      </w:r>
      <w:proofErr w:type="spellStart"/>
      <w:r w:rsidR="007B7DA8" w:rsidRPr="00CB5FD4">
        <w:rPr>
          <w:sz w:val="22"/>
          <w:szCs w:val="22"/>
        </w:rPr>
        <w:t>Manurung</w:t>
      </w:r>
      <w:proofErr w:type="spellEnd"/>
      <w:r w:rsidR="007B7DA8" w:rsidRPr="00CB5FD4">
        <w:rPr>
          <w:sz w:val="22"/>
          <w:szCs w:val="22"/>
        </w:rPr>
        <w:t xml:space="preserve">, </w:t>
      </w:r>
      <w:proofErr w:type="spellStart"/>
      <w:r w:rsidR="007B7DA8" w:rsidRPr="00CB5FD4">
        <w:rPr>
          <w:sz w:val="22"/>
          <w:szCs w:val="22"/>
        </w:rPr>
        <w:t>Oktari</w:t>
      </w:r>
      <w:proofErr w:type="spellEnd"/>
      <w:r w:rsidR="007B7DA8" w:rsidRPr="00CB5FD4">
        <w:rPr>
          <w:sz w:val="22"/>
          <w:szCs w:val="22"/>
        </w:rPr>
        <w:t xml:space="preserve">, and </w:t>
      </w:r>
      <w:proofErr w:type="spellStart"/>
      <w:r w:rsidR="007B7DA8" w:rsidRPr="00CB5FD4">
        <w:rPr>
          <w:sz w:val="22"/>
          <w:szCs w:val="22"/>
        </w:rPr>
        <w:t>Hasnatarina</w:t>
      </w:r>
      <w:proofErr w:type="spellEnd"/>
      <w:r w:rsidRPr="00CB5FD4">
        <w:rPr>
          <w:noProof/>
          <w:sz w:val="22"/>
          <w:szCs w:val="22"/>
        </w:rPr>
        <w:t xml:space="preserve"> (2016)</w:t>
      </w:r>
      <w:r w:rsidRPr="00CB5FD4">
        <w:rPr>
          <w:sz w:val="22"/>
          <w:szCs w:val="22"/>
        </w:rPr>
        <w:t xml:space="preserve">, and many others. </w:t>
      </w:r>
      <w:r w:rsidR="00292CF9" w:rsidRPr="00CB5FD4">
        <w:rPr>
          <w:sz w:val="22"/>
          <w:szCs w:val="22"/>
        </w:rPr>
        <w:t xml:space="preserve">Their </w:t>
      </w:r>
      <w:r w:rsidR="004C7A9F" w:rsidRPr="00CB5FD4">
        <w:rPr>
          <w:sz w:val="22"/>
          <w:szCs w:val="22"/>
        </w:rPr>
        <w:t xml:space="preserve">research mainly focuses on identifying factors that </w:t>
      </w:r>
      <w:r w:rsidR="00F317EB" w:rsidRPr="00CB5FD4">
        <w:rPr>
          <w:sz w:val="22"/>
          <w:szCs w:val="22"/>
        </w:rPr>
        <w:t xml:space="preserve">influence </w:t>
      </w:r>
      <w:proofErr w:type="spellStart"/>
      <w:r w:rsidR="00F317EB" w:rsidRPr="00CB5FD4">
        <w:rPr>
          <w:sz w:val="22"/>
          <w:szCs w:val="22"/>
        </w:rPr>
        <w:t>CED</w:t>
      </w:r>
      <w:proofErr w:type="spellEnd"/>
      <w:r w:rsidR="00292CF9" w:rsidRPr="00CB5FD4">
        <w:rPr>
          <w:sz w:val="22"/>
          <w:szCs w:val="22"/>
        </w:rPr>
        <w:t xml:space="preserve">. The factors </w:t>
      </w:r>
      <w:r w:rsidRPr="00CB5FD4">
        <w:rPr>
          <w:sz w:val="22"/>
          <w:szCs w:val="22"/>
        </w:rPr>
        <w:t xml:space="preserve">are those originating from internal firms, such as profitability, liquidity, size, age, and others. PROPER rating—an evaluation conducted by Ministry of Environment and Forestry—is also treated as </w:t>
      </w:r>
      <w:r w:rsidR="00292CF9" w:rsidRPr="00CB5FD4">
        <w:rPr>
          <w:sz w:val="22"/>
          <w:szCs w:val="22"/>
        </w:rPr>
        <w:t xml:space="preserve">a determinant </w:t>
      </w:r>
      <w:r w:rsidRPr="00CB5FD4">
        <w:rPr>
          <w:sz w:val="22"/>
          <w:szCs w:val="22"/>
        </w:rPr>
        <w:t xml:space="preserve">parallel with others. As a matter of fact, to accomplish an excellent environmental performance (PROPER rating), firms should be equipped with considerable sources </w:t>
      </w:r>
      <w:r w:rsidRPr="00CB5FD4">
        <w:rPr>
          <w:noProof/>
          <w:sz w:val="22"/>
          <w:szCs w:val="22"/>
        </w:rPr>
        <w:t xml:space="preserve">(Doonan, Lanoie </w:t>
      </w:r>
      <w:r w:rsidR="00E51230" w:rsidRPr="00CB5FD4">
        <w:rPr>
          <w:noProof/>
          <w:sz w:val="22"/>
          <w:szCs w:val="22"/>
        </w:rPr>
        <w:t>and</w:t>
      </w:r>
      <w:r w:rsidRPr="00CB5FD4">
        <w:rPr>
          <w:noProof/>
          <w:sz w:val="22"/>
          <w:szCs w:val="22"/>
        </w:rPr>
        <w:t xml:space="preserve"> Laplante, 2005)</w:t>
      </w:r>
      <w:r w:rsidRPr="00CB5FD4">
        <w:rPr>
          <w:sz w:val="22"/>
          <w:szCs w:val="22"/>
        </w:rPr>
        <w:t xml:space="preserve">. This is due to the coverage of PROPER that consists of all aspects of environmental pollutions including land degradation </w:t>
      </w:r>
      <w:r w:rsidRPr="00CB5FD4">
        <w:rPr>
          <w:noProof/>
          <w:sz w:val="22"/>
          <w:szCs w:val="22"/>
        </w:rPr>
        <w:t>(KEMENLHK, 2015)</w:t>
      </w:r>
      <w:r w:rsidRPr="00CB5FD4">
        <w:rPr>
          <w:sz w:val="22"/>
          <w:szCs w:val="22"/>
        </w:rPr>
        <w:t>. Therefore, PROPER has become the main concern for companies in dealing with environment.</w:t>
      </w:r>
    </w:p>
    <w:p w:rsidR="00F22990" w:rsidRPr="00CB5FD4" w:rsidRDefault="00DB1C1B" w:rsidP="00CB5FD4">
      <w:pPr>
        <w:ind w:firstLine="284"/>
        <w:contextualSpacing/>
        <w:jc w:val="both"/>
        <w:rPr>
          <w:sz w:val="22"/>
          <w:szCs w:val="22"/>
        </w:rPr>
      </w:pPr>
      <w:r w:rsidRPr="00CB5FD4">
        <w:rPr>
          <w:sz w:val="22"/>
          <w:szCs w:val="22"/>
        </w:rPr>
        <w:t xml:space="preserve">Companies </w:t>
      </w:r>
      <w:r w:rsidR="00F22990" w:rsidRPr="00CB5FD4">
        <w:rPr>
          <w:sz w:val="22"/>
          <w:szCs w:val="22"/>
        </w:rPr>
        <w:t xml:space="preserve">should obtain legitimacy from some parties </w:t>
      </w:r>
      <w:r w:rsidR="00CF2534" w:rsidRPr="00CB5FD4">
        <w:rPr>
          <w:sz w:val="22"/>
          <w:szCs w:val="22"/>
        </w:rPr>
        <w:t xml:space="preserve">to </w:t>
      </w:r>
      <w:r w:rsidRPr="00CB5FD4">
        <w:rPr>
          <w:sz w:val="22"/>
          <w:szCs w:val="22"/>
        </w:rPr>
        <w:t xml:space="preserve">run their business </w:t>
      </w:r>
      <w:r w:rsidR="00F22990" w:rsidRPr="00CB5FD4">
        <w:rPr>
          <w:noProof/>
          <w:sz w:val="22"/>
          <w:szCs w:val="22"/>
        </w:rPr>
        <w:t xml:space="preserve">(Dowling </w:t>
      </w:r>
      <w:r w:rsidR="00AE0DC0" w:rsidRPr="00CB5FD4">
        <w:rPr>
          <w:noProof/>
          <w:sz w:val="22"/>
          <w:szCs w:val="22"/>
        </w:rPr>
        <w:t xml:space="preserve">and </w:t>
      </w:r>
      <w:r w:rsidR="00F22990" w:rsidRPr="00CB5FD4">
        <w:rPr>
          <w:noProof/>
          <w:sz w:val="22"/>
          <w:szCs w:val="22"/>
        </w:rPr>
        <w:t>Pfeffer, 1975)</w:t>
      </w:r>
      <w:r w:rsidR="00F22990" w:rsidRPr="00CB5FD4">
        <w:rPr>
          <w:sz w:val="22"/>
          <w:szCs w:val="22"/>
        </w:rPr>
        <w:t xml:space="preserve"> to avoid social pressure, especially for go-public companies which are driven to be more transparent to report their both financial statements and carbon emissions. In addition, </w:t>
      </w:r>
      <w:r w:rsidR="00EE31F7" w:rsidRPr="00CB5FD4">
        <w:rPr>
          <w:sz w:val="22"/>
          <w:szCs w:val="22"/>
        </w:rPr>
        <w:t>Government of Indonesia (</w:t>
      </w:r>
      <w:proofErr w:type="spellStart"/>
      <w:r w:rsidR="00F22990" w:rsidRPr="00CB5FD4">
        <w:rPr>
          <w:sz w:val="22"/>
          <w:szCs w:val="22"/>
        </w:rPr>
        <w:t>GOI</w:t>
      </w:r>
      <w:proofErr w:type="spellEnd"/>
      <w:r w:rsidR="00EE31F7" w:rsidRPr="00CB5FD4">
        <w:rPr>
          <w:sz w:val="22"/>
          <w:szCs w:val="22"/>
        </w:rPr>
        <w:t>)</w:t>
      </w:r>
      <w:r w:rsidR="00F22990" w:rsidRPr="00CB5FD4">
        <w:rPr>
          <w:sz w:val="22"/>
          <w:szCs w:val="22"/>
        </w:rPr>
        <w:t xml:space="preserve"> applies pressure to the manufacturing companies by imposing regulation on PROPER to ensure they manage environment properly </w:t>
      </w:r>
      <w:r w:rsidR="00F22990" w:rsidRPr="00CB5FD4">
        <w:rPr>
          <w:noProof/>
          <w:sz w:val="22"/>
          <w:szCs w:val="22"/>
        </w:rPr>
        <w:t>(KEMENLHK, 2015)</w:t>
      </w:r>
      <w:r w:rsidR="00F22990" w:rsidRPr="00CB5FD4">
        <w:rPr>
          <w:sz w:val="22"/>
          <w:szCs w:val="22"/>
        </w:rPr>
        <w:t xml:space="preserve">. </w:t>
      </w:r>
      <w:r w:rsidR="00081CEE" w:rsidRPr="00CB5FD4">
        <w:rPr>
          <w:sz w:val="22"/>
          <w:szCs w:val="22"/>
        </w:rPr>
        <w:t xml:space="preserve">The </w:t>
      </w:r>
      <w:r w:rsidR="00F22990" w:rsidRPr="00CB5FD4">
        <w:rPr>
          <w:sz w:val="22"/>
          <w:szCs w:val="22"/>
        </w:rPr>
        <w:t>implementation</w:t>
      </w:r>
      <w:r w:rsidR="00081CEE" w:rsidRPr="00CB5FD4">
        <w:rPr>
          <w:sz w:val="22"/>
          <w:szCs w:val="22"/>
        </w:rPr>
        <w:t xml:space="preserve"> of PROPER</w:t>
      </w:r>
      <w:r w:rsidR="00F22990" w:rsidRPr="00CB5FD4">
        <w:rPr>
          <w:sz w:val="22"/>
          <w:szCs w:val="22"/>
        </w:rPr>
        <w:t xml:space="preserve"> is an expensive investment for firms to produce adequate environmental information including information about carbon emission.  Hence, this study attempts to reveal the impacts of environmental performance measured by PROPER rating on </w:t>
      </w:r>
      <w:proofErr w:type="spellStart"/>
      <w:r w:rsidR="00F22990" w:rsidRPr="00CB5FD4">
        <w:rPr>
          <w:sz w:val="22"/>
          <w:szCs w:val="22"/>
        </w:rPr>
        <w:t>CED</w:t>
      </w:r>
      <w:proofErr w:type="spellEnd"/>
      <w:r w:rsidR="00F22990" w:rsidRPr="00CB5FD4">
        <w:rPr>
          <w:sz w:val="22"/>
          <w:szCs w:val="22"/>
        </w:rPr>
        <w:t xml:space="preserve">. </w:t>
      </w:r>
      <w:r w:rsidR="00081CEE" w:rsidRPr="00CB5FD4">
        <w:rPr>
          <w:sz w:val="22"/>
          <w:szCs w:val="22"/>
        </w:rPr>
        <w:t>As e</w:t>
      </w:r>
      <w:r w:rsidR="00F22990" w:rsidRPr="00CB5FD4">
        <w:rPr>
          <w:sz w:val="22"/>
          <w:szCs w:val="22"/>
        </w:rPr>
        <w:t>nvironmental management needs sufficient human resources, funding and management</w:t>
      </w:r>
      <w:r w:rsidR="00C870F2" w:rsidRPr="00CB5FD4">
        <w:rPr>
          <w:sz w:val="22"/>
          <w:szCs w:val="22"/>
        </w:rPr>
        <w:t xml:space="preserve"> </w:t>
      </w:r>
      <w:r w:rsidR="00F22990" w:rsidRPr="00CB5FD4">
        <w:rPr>
          <w:noProof/>
          <w:sz w:val="22"/>
          <w:szCs w:val="22"/>
        </w:rPr>
        <w:t>(Doonan</w:t>
      </w:r>
      <w:r w:rsidR="00C870F2" w:rsidRPr="00CB5FD4">
        <w:rPr>
          <w:noProof/>
          <w:sz w:val="22"/>
          <w:szCs w:val="22"/>
        </w:rPr>
        <w:t>, Lanoie and Laplante</w:t>
      </w:r>
      <w:r w:rsidR="00F22990" w:rsidRPr="00CB5FD4">
        <w:rPr>
          <w:noProof/>
          <w:sz w:val="22"/>
          <w:szCs w:val="22"/>
        </w:rPr>
        <w:t>, 2005)</w:t>
      </w:r>
      <w:r w:rsidR="00081CEE" w:rsidRPr="00CB5FD4">
        <w:rPr>
          <w:noProof/>
          <w:sz w:val="22"/>
          <w:szCs w:val="22"/>
        </w:rPr>
        <w:t>,</w:t>
      </w:r>
      <w:r w:rsidR="00F22990" w:rsidRPr="00CB5FD4">
        <w:rPr>
          <w:sz w:val="22"/>
          <w:szCs w:val="22"/>
        </w:rPr>
        <w:t xml:space="preserve"> this study </w:t>
      </w:r>
      <w:r w:rsidR="00081CEE" w:rsidRPr="00CB5FD4">
        <w:rPr>
          <w:sz w:val="22"/>
          <w:szCs w:val="22"/>
        </w:rPr>
        <w:t xml:space="preserve">proposes two problems. (1) What are </w:t>
      </w:r>
      <w:r w:rsidR="009C180E" w:rsidRPr="00CB5FD4">
        <w:rPr>
          <w:sz w:val="22"/>
          <w:szCs w:val="22"/>
        </w:rPr>
        <w:t xml:space="preserve">the </w:t>
      </w:r>
      <w:r w:rsidR="00F22990" w:rsidRPr="00CB5FD4">
        <w:rPr>
          <w:sz w:val="22"/>
          <w:szCs w:val="22"/>
        </w:rPr>
        <w:t>factors determining environmental performance</w:t>
      </w:r>
      <w:r w:rsidR="00081CEE" w:rsidRPr="00CB5FD4">
        <w:rPr>
          <w:sz w:val="22"/>
          <w:szCs w:val="22"/>
        </w:rPr>
        <w:t xml:space="preserve">? (2) Does Environmental performance influence </w:t>
      </w:r>
      <w:proofErr w:type="spellStart"/>
      <w:r w:rsidR="00BC2CC2" w:rsidRPr="00CB5FD4">
        <w:rPr>
          <w:sz w:val="22"/>
          <w:szCs w:val="22"/>
        </w:rPr>
        <w:t>CED</w:t>
      </w:r>
      <w:proofErr w:type="spellEnd"/>
      <w:r w:rsidR="00BC2CC2" w:rsidRPr="00CB5FD4">
        <w:rPr>
          <w:sz w:val="22"/>
          <w:szCs w:val="22"/>
        </w:rPr>
        <w:t xml:space="preserve"> among Indonesian manufacturing companies? </w:t>
      </w:r>
    </w:p>
    <w:p w:rsidR="00330B2F" w:rsidRPr="00CB5FD4" w:rsidRDefault="00330B2F" w:rsidP="00F22990">
      <w:pPr>
        <w:ind w:firstLine="360"/>
        <w:contextualSpacing/>
        <w:jc w:val="both"/>
        <w:rPr>
          <w:sz w:val="22"/>
          <w:szCs w:val="22"/>
        </w:rPr>
      </w:pPr>
    </w:p>
    <w:p w:rsidR="00F317EB" w:rsidRPr="00CB5FD4" w:rsidRDefault="00F317EB" w:rsidP="00F22990">
      <w:pPr>
        <w:contextualSpacing/>
        <w:jc w:val="both"/>
        <w:rPr>
          <w:b/>
          <w:sz w:val="22"/>
          <w:szCs w:val="22"/>
        </w:rPr>
      </w:pPr>
    </w:p>
    <w:p w:rsidR="00F22990" w:rsidRPr="00CB5FD4" w:rsidRDefault="00F22990" w:rsidP="00F22990">
      <w:pPr>
        <w:contextualSpacing/>
        <w:jc w:val="both"/>
        <w:rPr>
          <w:b/>
          <w:sz w:val="22"/>
          <w:szCs w:val="22"/>
        </w:rPr>
      </w:pPr>
      <w:r w:rsidRPr="00CB5FD4">
        <w:rPr>
          <w:b/>
          <w:sz w:val="22"/>
          <w:szCs w:val="22"/>
        </w:rPr>
        <w:t>LITERATURE REVIEW</w:t>
      </w:r>
    </w:p>
    <w:p w:rsidR="00F22990" w:rsidRPr="00CB5FD4" w:rsidRDefault="00F22990" w:rsidP="00F22990">
      <w:pPr>
        <w:contextualSpacing/>
        <w:jc w:val="both"/>
        <w:rPr>
          <w:sz w:val="22"/>
          <w:szCs w:val="22"/>
        </w:rPr>
      </w:pPr>
    </w:p>
    <w:p w:rsidR="00F22990" w:rsidRPr="00CB5FD4" w:rsidRDefault="00F22990" w:rsidP="00F22990">
      <w:pPr>
        <w:contextualSpacing/>
        <w:jc w:val="both"/>
        <w:rPr>
          <w:sz w:val="22"/>
          <w:szCs w:val="22"/>
        </w:rPr>
      </w:pPr>
      <w:r w:rsidRPr="00CB5FD4">
        <w:rPr>
          <w:sz w:val="22"/>
          <w:szCs w:val="22"/>
        </w:rPr>
        <w:t xml:space="preserve">There are at least two prominent theories grounding this study </w:t>
      </w:r>
      <w:r w:rsidRPr="00CB5FD4">
        <w:rPr>
          <w:i/>
          <w:sz w:val="22"/>
          <w:szCs w:val="22"/>
        </w:rPr>
        <w:t>i.e.</w:t>
      </w:r>
      <w:r w:rsidRPr="00CB5FD4">
        <w:rPr>
          <w:sz w:val="22"/>
          <w:szCs w:val="22"/>
        </w:rPr>
        <w:t xml:space="preserve"> legitimacy and stakeholder theories. The former posits that for a company to continue to exist, it must operate its business in line with society’s values and norms </w:t>
      </w:r>
      <w:r w:rsidRPr="00CB5FD4">
        <w:rPr>
          <w:noProof/>
          <w:sz w:val="22"/>
          <w:szCs w:val="22"/>
        </w:rPr>
        <w:t xml:space="preserve">(Dowling </w:t>
      </w:r>
      <w:r w:rsidR="00344650" w:rsidRPr="00CB5FD4">
        <w:rPr>
          <w:noProof/>
          <w:sz w:val="22"/>
          <w:szCs w:val="22"/>
        </w:rPr>
        <w:t>and</w:t>
      </w:r>
      <w:r w:rsidRPr="00CB5FD4">
        <w:rPr>
          <w:noProof/>
          <w:sz w:val="22"/>
          <w:szCs w:val="22"/>
        </w:rPr>
        <w:t xml:space="preserve"> Pfeffer, 1975)</w:t>
      </w:r>
      <w:r w:rsidRPr="00CB5FD4">
        <w:rPr>
          <w:sz w:val="22"/>
          <w:szCs w:val="22"/>
        </w:rPr>
        <w:t xml:space="preserve">. Moreover, O’Donovan </w:t>
      </w:r>
      <w:r w:rsidRPr="00CB5FD4">
        <w:rPr>
          <w:noProof/>
          <w:sz w:val="22"/>
          <w:szCs w:val="22"/>
        </w:rPr>
        <w:t>(2002)</w:t>
      </w:r>
      <w:r w:rsidRPr="00CB5FD4">
        <w:rPr>
          <w:sz w:val="22"/>
          <w:szCs w:val="22"/>
        </w:rPr>
        <w:t xml:space="preserve"> suggests that as compensation towards society and environment, a company is to undergo public disclosure on social and environmental information in its annual report. Stakeholder theory argued by </w:t>
      </w:r>
      <w:r w:rsidRPr="00CB5FD4">
        <w:rPr>
          <w:noProof/>
          <w:sz w:val="22"/>
          <w:szCs w:val="22"/>
        </w:rPr>
        <w:t xml:space="preserve">Freeman (1984), contends </w:t>
      </w:r>
      <w:r w:rsidRPr="00CB5FD4">
        <w:rPr>
          <w:sz w:val="22"/>
          <w:szCs w:val="22"/>
        </w:rPr>
        <w:t xml:space="preserve">that the existence of company should benefit not only to the company itself, but also provide benefits to its stockholders </w:t>
      </w:r>
      <w:r w:rsidRPr="00CB5FD4">
        <w:rPr>
          <w:noProof/>
          <w:sz w:val="22"/>
          <w:szCs w:val="22"/>
        </w:rPr>
        <w:t xml:space="preserve">(Gray, Kouhy, </w:t>
      </w:r>
      <w:r w:rsidR="00344650" w:rsidRPr="00CB5FD4">
        <w:rPr>
          <w:noProof/>
          <w:sz w:val="22"/>
          <w:szCs w:val="22"/>
        </w:rPr>
        <w:t xml:space="preserve">and </w:t>
      </w:r>
      <w:r w:rsidRPr="00CB5FD4">
        <w:rPr>
          <w:noProof/>
          <w:sz w:val="22"/>
          <w:szCs w:val="22"/>
        </w:rPr>
        <w:t>Lavers, 1995)</w:t>
      </w:r>
      <w:r w:rsidRPr="00CB5FD4">
        <w:rPr>
          <w:sz w:val="22"/>
          <w:szCs w:val="22"/>
        </w:rPr>
        <w:t>.</w:t>
      </w:r>
    </w:p>
    <w:p w:rsidR="00F22990" w:rsidRPr="00CB5FD4" w:rsidRDefault="00F22990" w:rsidP="0085776F">
      <w:pPr>
        <w:ind w:firstLine="284"/>
        <w:contextualSpacing/>
        <w:jc w:val="both"/>
        <w:rPr>
          <w:sz w:val="22"/>
          <w:szCs w:val="22"/>
        </w:rPr>
      </w:pPr>
      <w:r w:rsidRPr="00CB5FD4">
        <w:rPr>
          <w:sz w:val="22"/>
          <w:szCs w:val="22"/>
        </w:rPr>
        <w:t xml:space="preserve">Disclosing information about the impact of the company's operations on the environment is becoming more important to minimize environmental degradation. </w:t>
      </w:r>
      <w:r w:rsidRPr="00CB5FD4">
        <w:rPr>
          <w:noProof/>
          <w:sz w:val="22"/>
          <w:szCs w:val="22"/>
        </w:rPr>
        <w:t>(Hutchison, 2011)</w:t>
      </w:r>
      <w:r w:rsidRPr="00CB5FD4">
        <w:rPr>
          <w:sz w:val="22"/>
          <w:szCs w:val="22"/>
        </w:rPr>
        <w:t xml:space="preserve"> contends that environmental disclosure is increasingly pivotal </w:t>
      </w:r>
      <w:r w:rsidRPr="00CB5FD4">
        <w:rPr>
          <w:sz w:val="22"/>
          <w:szCs w:val="22"/>
        </w:rPr>
        <w:lastRenderedPageBreak/>
        <w:t xml:space="preserve">along with the increasing of both harmful-substance pollution and pollution cleanup costs. Carbon Emission Disclosure </w:t>
      </w:r>
      <w:r w:rsidRPr="00CB5FD4">
        <w:rPr>
          <w:noProof/>
          <w:sz w:val="22"/>
          <w:szCs w:val="22"/>
        </w:rPr>
        <w:t>(</w:t>
      </w:r>
      <w:r w:rsidR="00CF2534" w:rsidRPr="00CB5FD4">
        <w:rPr>
          <w:noProof/>
          <w:sz w:val="22"/>
          <w:szCs w:val="22"/>
        </w:rPr>
        <w:t>CED</w:t>
      </w:r>
      <w:r w:rsidRPr="00CB5FD4">
        <w:rPr>
          <w:noProof/>
          <w:sz w:val="22"/>
          <w:szCs w:val="22"/>
        </w:rPr>
        <w:t>)</w:t>
      </w:r>
      <w:r w:rsidRPr="00CB5FD4">
        <w:rPr>
          <w:sz w:val="22"/>
          <w:szCs w:val="22"/>
        </w:rPr>
        <w:t xml:space="preserve"> is an act committed by a company to provide information about its carbon emissions. Delivering this environmental information would have positive impact on </w:t>
      </w:r>
      <w:r w:rsidR="00330B2F" w:rsidRPr="00CB5FD4">
        <w:rPr>
          <w:sz w:val="22"/>
          <w:szCs w:val="22"/>
        </w:rPr>
        <w:t>companies’</w:t>
      </w:r>
      <w:r w:rsidRPr="00CB5FD4">
        <w:rPr>
          <w:sz w:val="22"/>
          <w:szCs w:val="22"/>
        </w:rPr>
        <w:t xml:space="preserve"> value </w:t>
      </w:r>
      <w:r w:rsidRPr="00CB5FD4">
        <w:rPr>
          <w:noProof/>
          <w:sz w:val="22"/>
          <w:szCs w:val="22"/>
        </w:rPr>
        <w:t xml:space="preserve">(Saka </w:t>
      </w:r>
      <w:r w:rsidR="00344650" w:rsidRPr="00CB5FD4">
        <w:rPr>
          <w:noProof/>
          <w:sz w:val="22"/>
          <w:szCs w:val="22"/>
        </w:rPr>
        <w:t xml:space="preserve">and </w:t>
      </w:r>
      <w:r w:rsidRPr="00CB5FD4">
        <w:rPr>
          <w:noProof/>
          <w:sz w:val="22"/>
          <w:szCs w:val="22"/>
        </w:rPr>
        <w:t>Oshika, 2014)</w:t>
      </w:r>
      <w:r w:rsidRPr="00CB5FD4">
        <w:rPr>
          <w:sz w:val="22"/>
          <w:szCs w:val="22"/>
        </w:rPr>
        <w:t>. However, in Indonesia</w:t>
      </w:r>
      <w:r w:rsidR="00CF2534" w:rsidRPr="00CB5FD4">
        <w:rPr>
          <w:sz w:val="22"/>
          <w:szCs w:val="22"/>
        </w:rPr>
        <w:t>n</w:t>
      </w:r>
      <w:r w:rsidRPr="00CB5FD4">
        <w:rPr>
          <w:sz w:val="22"/>
          <w:szCs w:val="22"/>
        </w:rPr>
        <w:t xml:space="preserve"> business context, environmental disclosure in the annual report is still considered voluntary </w:t>
      </w:r>
      <w:r w:rsidRPr="00CB5FD4">
        <w:rPr>
          <w:noProof/>
          <w:sz w:val="22"/>
          <w:szCs w:val="22"/>
        </w:rPr>
        <w:t>(</w:t>
      </w:r>
      <w:r w:rsidR="007B7DA8" w:rsidRPr="00CB5FD4">
        <w:rPr>
          <w:sz w:val="22"/>
          <w:szCs w:val="22"/>
        </w:rPr>
        <w:t xml:space="preserve">Kusuma, </w:t>
      </w:r>
      <w:proofErr w:type="spellStart"/>
      <w:r w:rsidR="007B7DA8" w:rsidRPr="00CB5FD4">
        <w:rPr>
          <w:sz w:val="22"/>
          <w:szCs w:val="22"/>
        </w:rPr>
        <w:t>Manurung</w:t>
      </w:r>
      <w:proofErr w:type="spellEnd"/>
      <w:r w:rsidR="007B7DA8" w:rsidRPr="00CB5FD4">
        <w:rPr>
          <w:sz w:val="22"/>
          <w:szCs w:val="22"/>
        </w:rPr>
        <w:t xml:space="preserve">, </w:t>
      </w:r>
      <w:proofErr w:type="spellStart"/>
      <w:r w:rsidR="007B7DA8" w:rsidRPr="00CB5FD4">
        <w:rPr>
          <w:sz w:val="22"/>
          <w:szCs w:val="22"/>
        </w:rPr>
        <w:t>Oktari</w:t>
      </w:r>
      <w:proofErr w:type="spellEnd"/>
      <w:r w:rsidR="007B7DA8" w:rsidRPr="00CB5FD4">
        <w:rPr>
          <w:sz w:val="22"/>
          <w:szCs w:val="22"/>
        </w:rPr>
        <w:t xml:space="preserve">, and </w:t>
      </w:r>
      <w:proofErr w:type="spellStart"/>
      <w:r w:rsidR="007B7DA8" w:rsidRPr="00CB5FD4">
        <w:rPr>
          <w:sz w:val="22"/>
          <w:szCs w:val="22"/>
        </w:rPr>
        <w:t>Hasnatarina</w:t>
      </w:r>
      <w:proofErr w:type="spellEnd"/>
      <w:r w:rsidR="007B7DA8" w:rsidRPr="00CB5FD4">
        <w:rPr>
          <w:noProof/>
          <w:sz w:val="22"/>
          <w:szCs w:val="22"/>
        </w:rPr>
        <w:t>, 2016)</w:t>
      </w:r>
      <w:r w:rsidRPr="00CB5FD4">
        <w:rPr>
          <w:sz w:val="22"/>
          <w:szCs w:val="22"/>
        </w:rPr>
        <w:t xml:space="preserve">, so the communities have only limited environmental information from the company. In some EU countries, environmental reporting has become a mandatory to be disclosed in annual financial statements </w:t>
      </w:r>
      <w:r w:rsidRPr="00CB5FD4">
        <w:rPr>
          <w:noProof/>
          <w:sz w:val="22"/>
          <w:szCs w:val="22"/>
        </w:rPr>
        <w:t xml:space="preserve">(Costa </w:t>
      </w:r>
      <w:r w:rsidR="00344650" w:rsidRPr="00CB5FD4">
        <w:rPr>
          <w:noProof/>
          <w:sz w:val="22"/>
          <w:szCs w:val="22"/>
        </w:rPr>
        <w:t xml:space="preserve">and </w:t>
      </w:r>
      <w:r w:rsidRPr="00CB5FD4">
        <w:rPr>
          <w:noProof/>
          <w:sz w:val="22"/>
          <w:szCs w:val="22"/>
        </w:rPr>
        <w:t>Agostini, 2016; Fallan, 2016)</w:t>
      </w:r>
      <w:r w:rsidRPr="00CB5FD4">
        <w:rPr>
          <w:sz w:val="22"/>
          <w:szCs w:val="22"/>
        </w:rPr>
        <w:t xml:space="preserve">. Nevertheless, research conducted in Italy and Norway on the mandatory of environmental disclosure in annual reports still shows unsatisfactory results </w:t>
      </w:r>
      <w:r w:rsidRPr="00CB5FD4">
        <w:rPr>
          <w:noProof/>
          <w:sz w:val="22"/>
          <w:szCs w:val="22"/>
        </w:rPr>
        <w:t xml:space="preserve">(Costa </w:t>
      </w:r>
      <w:r w:rsidR="00BC2CC2" w:rsidRPr="00CB5FD4">
        <w:rPr>
          <w:noProof/>
          <w:sz w:val="22"/>
          <w:szCs w:val="22"/>
        </w:rPr>
        <w:t>and</w:t>
      </w:r>
      <w:r w:rsidRPr="00CB5FD4">
        <w:rPr>
          <w:noProof/>
          <w:sz w:val="22"/>
          <w:szCs w:val="22"/>
        </w:rPr>
        <w:t xml:space="preserve"> Agostini, 2016; Fallan, 2016)</w:t>
      </w:r>
      <w:r w:rsidRPr="00CB5FD4">
        <w:rPr>
          <w:sz w:val="22"/>
          <w:szCs w:val="22"/>
        </w:rPr>
        <w:t xml:space="preserve">. Likewise, research conducted on American companies participating in the </w:t>
      </w:r>
      <w:proofErr w:type="spellStart"/>
      <w:r w:rsidRPr="00CB5FD4">
        <w:rPr>
          <w:sz w:val="22"/>
          <w:szCs w:val="22"/>
        </w:rPr>
        <w:t>RGGI</w:t>
      </w:r>
      <w:proofErr w:type="spellEnd"/>
      <w:r w:rsidRPr="00CB5FD4">
        <w:rPr>
          <w:sz w:val="22"/>
          <w:szCs w:val="22"/>
        </w:rPr>
        <w:t xml:space="preserve"> program also provides almost similar results </w:t>
      </w:r>
      <w:r w:rsidRPr="00CB5FD4">
        <w:rPr>
          <w:noProof/>
          <w:sz w:val="22"/>
          <w:szCs w:val="22"/>
        </w:rPr>
        <w:t xml:space="preserve">(Freedman </w:t>
      </w:r>
      <w:r w:rsidR="00344650" w:rsidRPr="00CB5FD4">
        <w:rPr>
          <w:noProof/>
          <w:sz w:val="22"/>
          <w:szCs w:val="22"/>
        </w:rPr>
        <w:t>and</w:t>
      </w:r>
      <w:r w:rsidRPr="00CB5FD4">
        <w:rPr>
          <w:noProof/>
          <w:sz w:val="22"/>
          <w:szCs w:val="22"/>
        </w:rPr>
        <w:t xml:space="preserve"> Park, 2014)</w:t>
      </w:r>
      <w:r w:rsidRPr="00CB5FD4">
        <w:rPr>
          <w:sz w:val="22"/>
          <w:szCs w:val="22"/>
        </w:rPr>
        <w:t>.</w:t>
      </w:r>
    </w:p>
    <w:p w:rsidR="00F22990" w:rsidRPr="00CB5FD4" w:rsidRDefault="00F22990" w:rsidP="00F22990">
      <w:pPr>
        <w:contextualSpacing/>
        <w:jc w:val="both"/>
        <w:rPr>
          <w:b/>
          <w:sz w:val="22"/>
          <w:szCs w:val="22"/>
        </w:rPr>
      </w:pPr>
    </w:p>
    <w:p w:rsidR="00F22990" w:rsidRPr="00CB5FD4" w:rsidRDefault="00F22990" w:rsidP="00F22990">
      <w:pPr>
        <w:contextualSpacing/>
        <w:jc w:val="both"/>
        <w:rPr>
          <w:b/>
          <w:sz w:val="22"/>
          <w:szCs w:val="22"/>
        </w:rPr>
      </w:pPr>
      <w:r w:rsidRPr="00CB5FD4">
        <w:rPr>
          <w:b/>
          <w:sz w:val="22"/>
          <w:szCs w:val="22"/>
        </w:rPr>
        <w:t>PROPER and Carbon Emission Disclosure</w:t>
      </w:r>
    </w:p>
    <w:p w:rsidR="00F22990" w:rsidRPr="00CB5FD4" w:rsidRDefault="00F22990" w:rsidP="00F22990">
      <w:pPr>
        <w:contextualSpacing/>
        <w:jc w:val="both"/>
        <w:rPr>
          <w:sz w:val="22"/>
          <w:szCs w:val="22"/>
        </w:rPr>
      </w:pPr>
    </w:p>
    <w:p w:rsidR="00F22990" w:rsidRPr="00CB5FD4" w:rsidRDefault="00F22990" w:rsidP="00F317EB">
      <w:pPr>
        <w:ind w:firstLine="284"/>
        <w:contextualSpacing/>
        <w:jc w:val="both"/>
        <w:rPr>
          <w:sz w:val="22"/>
          <w:szCs w:val="22"/>
        </w:rPr>
      </w:pPr>
      <w:r w:rsidRPr="00CB5FD4">
        <w:rPr>
          <w:sz w:val="22"/>
          <w:szCs w:val="22"/>
        </w:rPr>
        <w:t xml:space="preserve">To measure </w:t>
      </w:r>
      <w:proofErr w:type="spellStart"/>
      <w:r w:rsidRPr="00CB5FD4">
        <w:rPr>
          <w:sz w:val="22"/>
          <w:szCs w:val="22"/>
        </w:rPr>
        <w:t>CED</w:t>
      </w:r>
      <w:proofErr w:type="spellEnd"/>
      <w:r w:rsidRPr="00CB5FD4">
        <w:rPr>
          <w:sz w:val="22"/>
          <w:szCs w:val="22"/>
        </w:rPr>
        <w:t xml:space="preserve">, </w:t>
      </w:r>
      <w:r w:rsidRPr="00CB5FD4">
        <w:rPr>
          <w:noProof/>
          <w:sz w:val="22"/>
          <w:szCs w:val="22"/>
        </w:rPr>
        <w:t>Bae Choi et al. (2013)</w:t>
      </w:r>
      <w:r w:rsidRPr="00CB5FD4">
        <w:rPr>
          <w:sz w:val="22"/>
          <w:szCs w:val="22"/>
        </w:rPr>
        <w:t xml:space="preserve"> utilize a carbon emission checklist developed by Carbon Disclosure Project (CDP). The list consists of six categories </w:t>
      </w:r>
      <w:r w:rsidRPr="00CB5FD4">
        <w:rPr>
          <w:i/>
          <w:sz w:val="22"/>
          <w:szCs w:val="22"/>
        </w:rPr>
        <w:t>i.e.</w:t>
      </w:r>
      <w:r w:rsidRPr="00CB5FD4">
        <w:rPr>
          <w:sz w:val="22"/>
          <w:szCs w:val="22"/>
        </w:rPr>
        <w:t xml:space="preserve"> climate change, Green House Gas (</w:t>
      </w:r>
      <w:proofErr w:type="spellStart"/>
      <w:r w:rsidRPr="00CB5FD4">
        <w:rPr>
          <w:sz w:val="22"/>
          <w:szCs w:val="22"/>
        </w:rPr>
        <w:t>GHG</w:t>
      </w:r>
      <w:proofErr w:type="spellEnd"/>
      <w:r w:rsidRPr="00CB5FD4">
        <w:rPr>
          <w:sz w:val="22"/>
          <w:szCs w:val="22"/>
        </w:rPr>
        <w:t xml:space="preserve">) Emissions, energy consumptions, </w:t>
      </w:r>
      <w:proofErr w:type="spellStart"/>
      <w:r w:rsidRPr="00CB5FD4">
        <w:rPr>
          <w:sz w:val="22"/>
          <w:szCs w:val="22"/>
        </w:rPr>
        <w:t>GHG</w:t>
      </w:r>
      <w:proofErr w:type="spellEnd"/>
      <w:r w:rsidRPr="00CB5FD4">
        <w:rPr>
          <w:sz w:val="22"/>
          <w:szCs w:val="22"/>
        </w:rPr>
        <w:t xml:space="preserve"> reduction and cost and </w:t>
      </w:r>
      <w:proofErr w:type="spellStart"/>
      <w:r w:rsidRPr="00CB5FD4">
        <w:rPr>
          <w:sz w:val="22"/>
          <w:szCs w:val="22"/>
        </w:rPr>
        <w:t>GHG</w:t>
      </w:r>
      <w:proofErr w:type="spellEnd"/>
      <w:r w:rsidRPr="00CB5FD4">
        <w:rPr>
          <w:sz w:val="22"/>
          <w:szCs w:val="22"/>
        </w:rPr>
        <w:t xml:space="preserve"> emission accountability. </w:t>
      </w:r>
      <w:r w:rsidR="00330B2F" w:rsidRPr="00CB5FD4">
        <w:rPr>
          <w:sz w:val="22"/>
          <w:szCs w:val="22"/>
        </w:rPr>
        <w:t>Altogether</w:t>
      </w:r>
      <w:r w:rsidRPr="00CB5FD4">
        <w:rPr>
          <w:sz w:val="22"/>
          <w:szCs w:val="22"/>
        </w:rPr>
        <w:t xml:space="preserve">, there are 18 items of disclosure. This check list becomes a reference to examine </w:t>
      </w:r>
      <w:proofErr w:type="spellStart"/>
      <w:r w:rsidRPr="00CB5FD4">
        <w:rPr>
          <w:sz w:val="22"/>
          <w:szCs w:val="22"/>
        </w:rPr>
        <w:t>CED</w:t>
      </w:r>
      <w:proofErr w:type="spellEnd"/>
      <w:r w:rsidRPr="00CB5FD4">
        <w:rPr>
          <w:sz w:val="22"/>
          <w:szCs w:val="22"/>
        </w:rPr>
        <w:t xml:space="preserve"> in annual financial reports, like the one employed by </w:t>
      </w:r>
      <w:r w:rsidRPr="00CB5FD4">
        <w:rPr>
          <w:noProof/>
          <w:sz w:val="22"/>
          <w:szCs w:val="22"/>
        </w:rPr>
        <w:t>Kalu, Buang, and Aliagha (2016)</w:t>
      </w:r>
      <w:r w:rsidRPr="00CB5FD4">
        <w:rPr>
          <w:sz w:val="22"/>
          <w:szCs w:val="22"/>
        </w:rPr>
        <w:t>.</w:t>
      </w:r>
    </w:p>
    <w:p w:rsidR="00F22990" w:rsidRPr="00CB5FD4" w:rsidRDefault="00F22990" w:rsidP="0040602D">
      <w:pPr>
        <w:ind w:firstLine="284"/>
        <w:contextualSpacing/>
        <w:jc w:val="both"/>
        <w:rPr>
          <w:noProof/>
          <w:sz w:val="22"/>
          <w:szCs w:val="22"/>
        </w:rPr>
      </w:pPr>
      <w:r w:rsidRPr="00CB5FD4">
        <w:rPr>
          <w:sz w:val="22"/>
          <w:szCs w:val="22"/>
        </w:rPr>
        <w:t xml:space="preserve">This study considers PROPER rating as a company’s performance in managing environment. PROPER could be viewed as a government pressure to the companies to manage the environment properly.  A prior study discovers that external parties also put pressures on companies to disclose carbon emissions in annual reports </w:t>
      </w:r>
      <w:r w:rsidRPr="00CB5FD4">
        <w:rPr>
          <w:noProof/>
          <w:sz w:val="22"/>
          <w:szCs w:val="22"/>
        </w:rPr>
        <w:t xml:space="preserve">(Gonzalez-Gonzalez </w:t>
      </w:r>
      <w:r w:rsidR="00344650" w:rsidRPr="00CB5FD4">
        <w:rPr>
          <w:noProof/>
          <w:sz w:val="22"/>
          <w:szCs w:val="22"/>
        </w:rPr>
        <w:t>and</w:t>
      </w:r>
      <w:r w:rsidRPr="00CB5FD4">
        <w:rPr>
          <w:noProof/>
          <w:sz w:val="22"/>
          <w:szCs w:val="22"/>
        </w:rPr>
        <w:t xml:space="preserve"> Ramirez, 2016; Liesen, Hoepner, Patten, </w:t>
      </w:r>
      <w:r w:rsidR="00344650" w:rsidRPr="00CB5FD4">
        <w:rPr>
          <w:noProof/>
          <w:sz w:val="22"/>
          <w:szCs w:val="22"/>
        </w:rPr>
        <w:t>and</w:t>
      </w:r>
      <w:r w:rsidRPr="00CB5FD4">
        <w:rPr>
          <w:noProof/>
          <w:sz w:val="22"/>
          <w:szCs w:val="22"/>
        </w:rPr>
        <w:t xml:space="preserve"> Figge, 2015)</w:t>
      </w:r>
      <w:r w:rsidRPr="00CB5FD4">
        <w:rPr>
          <w:sz w:val="22"/>
          <w:szCs w:val="22"/>
        </w:rPr>
        <w:t xml:space="preserve">. A study carried out by </w:t>
      </w:r>
      <w:proofErr w:type="spellStart"/>
      <w:r w:rsidR="0040602D" w:rsidRPr="00CB5FD4">
        <w:rPr>
          <w:sz w:val="22"/>
          <w:szCs w:val="22"/>
        </w:rPr>
        <w:t>Akhiroh</w:t>
      </w:r>
      <w:proofErr w:type="spellEnd"/>
      <w:r w:rsidR="0040602D" w:rsidRPr="00CB5FD4">
        <w:rPr>
          <w:sz w:val="22"/>
          <w:szCs w:val="22"/>
        </w:rPr>
        <w:t xml:space="preserve"> and </w:t>
      </w:r>
      <w:proofErr w:type="spellStart"/>
      <w:r w:rsidR="0040602D" w:rsidRPr="00CB5FD4">
        <w:rPr>
          <w:sz w:val="22"/>
          <w:szCs w:val="22"/>
        </w:rPr>
        <w:t>Kiswanto</w:t>
      </w:r>
      <w:proofErr w:type="spellEnd"/>
      <w:r w:rsidR="0040602D" w:rsidRPr="00CB5FD4">
        <w:rPr>
          <w:noProof/>
          <w:sz w:val="22"/>
          <w:szCs w:val="22"/>
        </w:rPr>
        <w:t xml:space="preserve"> (2016</w:t>
      </w:r>
      <w:r w:rsidRPr="00CB5FD4">
        <w:rPr>
          <w:noProof/>
          <w:sz w:val="22"/>
          <w:szCs w:val="22"/>
        </w:rPr>
        <w:t>)</w:t>
      </w:r>
      <w:r w:rsidR="0040602D" w:rsidRPr="00CB5FD4">
        <w:rPr>
          <w:noProof/>
          <w:sz w:val="22"/>
          <w:szCs w:val="22"/>
        </w:rPr>
        <w:t xml:space="preserve"> </w:t>
      </w:r>
      <w:r w:rsidRPr="00CB5FD4">
        <w:rPr>
          <w:noProof/>
          <w:sz w:val="22"/>
          <w:szCs w:val="22"/>
        </w:rPr>
        <w:t>exposes a fact that environmental performance does not impact on CED. However,</w:t>
      </w:r>
      <w:r w:rsidRPr="00CB5FD4">
        <w:rPr>
          <w:sz w:val="22"/>
          <w:szCs w:val="22"/>
        </w:rPr>
        <w:t xml:space="preserve"> </w:t>
      </w:r>
      <w:r w:rsidRPr="00CB5FD4">
        <w:rPr>
          <w:noProof/>
          <w:sz w:val="22"/>
          <w:szCs w:val="22"/>
        </w:rPr>
        <w:t>Dawkins and Fraas (2011)</w:t>
      </w:r>
      <w:r w:rsidRPr="00CB5FD4">
        <w:rPr>
          <w:sz w:val="22"/>
          <w:szCs w:val="22"/>
        </w:rPr>
        <w:t xml:space="preserve"> provide a result that corporate environmental performance significantly correlates with climate change disclosure. </w:t>
      </w:r>
      <w:r w:rsidRPr="00CB5FD4">
        <w:rPr>
          <w:noProof/>
          <w:sz w:val="22"/>
          <w:szCs w:val="22"/>
        </w:rPr>
        <w:t>Al-Tuwaijri, Christensen and Hughes (2004)</w:t>
      </w:r>
      <w:r w:rsidRPr="00CB5FD4">
        <w:rPr>
          <w:sz w:val="22"/>
          <w:szCs w:val="22"/>
        </w:rPr>
        <w:t xml:space="preserve"> also verify that there is a significant correlation between environmental performance and the level of voluntary environmental disclosure reported in companies’ annual reports.  PROPER rating as an achievement of environmental management could be a substantial indicator towards the availability of carbon emission information in the company. Therefore, this study concludes that the better the PROPER rating is, the more comprehensive the information that a company publishes in its annual report is. The study posits the following hypothesis:</w:t>
      </w:r>
    </w:p>
    <w:p w:rsidR="00F22990" w:rsidRPr="00CB5FD4" w:rsidRDefault="00F22990" w:rsidP="00F22990">
      <w:pPr>
        <w:ind w:left="360" w:hanging="360"/>
        <w:contextualSpacing/>
        <w:jc w:val="both"/>
        <w:rPr>
          <w:b/>
          <w:sz w:val="22"/>
          <w:szCs w:val="22"/>
        </w:rPr>
      </w:pPr>
    </w:p>
    <w:p w:rsidR="00F22990" w:rsidRPr="00CB5FD4" w:rsidRDefault="00CF5A9D" w:rsidP="00F317EB">
      <w:pPr>
        <w:contextualSpacing/>
        <w:jc w:val="both"/>
        <w:rPr>
          <w:sz w:val="22"/>
          <w:szCs w:val="22"/>
        </w:rPr>
      </w:pPr>
      <w:r w:rsidRPr="00CB5FD4">
        <w:rPr>
          <w:b/>
          <w:sz w:val="22"/>
          <w:szCs w:val="22"/>
        </w:rPr>
        <w:t>H</w:t>
      </w:r>
      <w:r w:rsidR="00F317EB" w:rsidRPr="00CB5FD4">
        <w:rPr>
          <w:b/>
          <w:sz w:val="22"/>
          <w:szCs w:val="22"/>
        </w:rPr>
        <w:t>ypothesis 1</w:t>
      </w:r>
      <w:r w:rsidRPr="00CB5FD4">
        <w:rPr>
          <w:b/>
          <w:sz w:val="22"/>
          <w:szCs w:val="22"/>
        </w:rPr>
        <w:t>:</w:t>
      </w:r>
      <w:r w:rsidR="00F22990" w:rsidRPr="00CB5FD4">
        <w:rPr>
          <w:sz w:val="22"/>
          <w:szCs w:val="22"/>
        </w:rPr>
        <w:tab/>
        <w:t>PROPER rating has positive impacts on carbon emission disclosure of   manufacturing companies listed in IDX</w:t>
      </w:r>
    </w:p>
    <w:p w:rsidR="00F317EB" w:rsidRDefault="00F317EB"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 xml:space="preserve">The Effect of Board Size on PROPER and </w:t>
      </w:r>
      <w:proofErr w:type="spellStart"/>
      <w:r w:rsidRPr="00F22990">
        <w:rPr>
          <w:b/>
          <w:sz w:val="22"/>
          <w:szCs w:val="22"/>
        </w:rPr>
        <w:t>CED</w:t>
      </w:r>
      <w:proofErr w:type="spellEnd"/>
    </w:p>
    <w:p w:rsidR="00F22990" w:rsidRPr="00F22990" w:rsidRDefault="00F22990" w:rsidP="00F22990">
      <w:pPr>
        <w:contextualSpacing/>
        <w:jc w:val="both"/>
        <w:rPr>
          <w:sz w:val="22"/>
          <w:szCs w:val="22"/>
        </w:rPr>
      </w:pPr>
    </w:p>
    <w:p w:rsidR="00F22990" w:rsidRPr="00F317EB" w:rsidRDefault="00F22990" w:rsidP="00F317EB">
      <w:pPr>
        <w:ind w:firstLine="284"/>
        <w:contextualSpacing/>
        <w:jc w:val="both"/>
        <w:rPr>
          <w:sz w:val="22"/>
          <w:szCs w:val="22"/>
        </w:rPr>
      </w:pPr>
      <w:r w:rsidRPr="00F22990">
        <w:rPr>
          <w:sz w:val="22"/>
          <w:szCs w:val="22"/>
        </w:rPr>
        <w:t>Corporate Good Governance (</w:t>
      </w:r>
      <w:proofErr w:type="spellStart"/>
      <w:r w:rsidRPr="00F22990">
        <w:rPr>
          <w:sz w:val="22"/>
          <w:szCs w:val="22"/>
        </w:rPr>
        <w:t>GCG</w:t>
      </w:r>
      <w:proofErr w:type="spellEnd"/>
      <w:r w:rsidRPr="00F22990">
        <w:rPr>
          <w:sz w:val="22"/>
          <w:szCs w:val="22"/>
        </w:rPr>
        <w:t xml:space="preserve">) aims to encourage a company to implement management with principles of transparency, accountability, responsibility, independency and fairness </w:t>
      </w:r>
      <w:r w:rsidRPr="00F22990">
        <w:rPr>
          <w:noProof/>
          <w:sz w:val="22"/>
          <w:szCs w:val="22"/>
        </w:rPr>
        <w:t>(KNKG, 2006)</w:t>
      </w:r>
      <w:r w:rsidRPr="00F22990">
        <w:rPr>
          <w:sz w:val="22"/>
          <w:szCs w:val="22"/>
        </w:rPr>
        <w:t xml:space="preserve">. In implementing </w:t>
      </w:r>
      <w:proofErr w:type="spellStart"/>
      <w:r w:rsidRPr="00F22990">
        <w:rPr>
          <w:sz w:val="22"/>
          <w:szCs w:val="22"/>
        </w:rPr>
        <w:t>GCG</w:t>
      </w:r>
      <w:proofErr w:type="spellEnd"/>
      <w:r w:rsidRPr="00F22990">
        <w:rPr>
          <w:sz w:val="22"/>
          <w:szCs w:val="22"/>
        </w:rPr>
        <w:t xml:space="preserve">, both boards of </w:t>
      </w:r>
      <w:r w:rsidRPr="00F22990">
        <w:rPr>
          <w:sz w:val="22"/>
          <w:szCs w:val="22"/>
        </w:rPr>
        <w:lastRenderedPageBreak/>
        <w:t xml:space="preserve">commissioners and directors play pivotal roles to provide acts of responsibility </w:t>
      </w:r>
      <w:r w:rsidRPr="00F317EB">
        <w:rPr>
          <w:sz w:val="22"/>
          <w:szCs w:val="22"/>
        </w:rPr>
        <w:t xml:space="preserve">towards society and environment. As a reflection of </w:t>
      </w:r>
      <w:proofErr w:type="spellStart"/>
      <w:r w:rsidRPr="00F317EB">
        <w:rPr>
          <w:sz w:val="22"/>
          <w:szCs w:val="22"/>
        </w:rPr>
        <w:t>GCG</w:t>
      </w:r>
      <w:proofErr w:type="spellEnd"/>
      <w:r w:rsidRPr="00F317EB">
        <w:rPr>
          <w:sz w:val="22"/>
          <w:szCs w:val="22"/>
        </w:rPr>
        <w:t xml:space="preserve"> implementation, previous studies use board characteristics as proxy of </w:t>
      </w:r>
      <w:proofErr w:type="spellStart"/>
      <w:r w:rsidRPr="00F317EB">
        <w:rPr>
          <w:sz w:val="22"/>
          <w:szCs w:val="22"/>
        </w:rPr>
        <w:t>GCG</w:t>
      </w:r>
      <w:proofErr w:type="spellEnd"/>
      <w:r w:rsidRPr="00F317EB">
        <w:rPr>
          <w:sz w:val="22"/>
          <w:szCs w:val="22"/>
        </w:rPr>
        <w:t>. In this case, Naseem</w:t>
      </w:r>
      <w:r w:rsidR="00CF2534" w:rsidRPr="00F317EB">
        <w:rPr>
          <w:sz w:val="22"/>
          <w:szCs w:val="22"/>
        </w:rPr>
        <w:t>, Rias, Rehman, Ikram, and Malik</w:t>
      </w:r>
      <w:r w:rsidRPr="00F317EB">
        <w:rPr>
          <w:sz w:val="22"/>
          <w:szCs w:val="22"/>
        </w:rPr>
        <w:t xml:space="preserve"> </w:t>
      </w:r>
      <w:r w:rsidRPr="00F317EB">
        <w:rPr>
          <w:noProof/>
          <w:sz w:val="22"/>
          <w:szCs w:val="22"/>
        </w:rPr>
        <w:t>(2017)</w:t>
      </w:r>
      <w:r w:rsidRPr="00F317EB">
        <w:rPr>
          <w:sz w:val="22"/>
          <w:szCs w:val="22"/>
        </w:rPr>
        <w:t xml:space="preserve"> consider board size an important board characteristic. Hence, the board of commissioners proxied by board size positively impacts both </w:t>
      </w:r>
      <w:proofErr w:type="spellStart"/>
      <w:r w:rsidRPr="00F317EB">
        <w:rPr>
          <w:sz w:val="22"/>
          <w:szCs w:val="22"/>
        </w:rPr>
        <w:t>CED</w:t>
      </w:r>
      <w:proofErr w:type="spellEnd"/>
      <w:r w:rsidRPr="00F317EB">
        <w:rPr>
          <w:sz w:val="22"/>
          <w:szCs w:val="22"/>
        </w:rPr>
        <w:t xml:space="preserve"> and PROPER rating </w:t>
      </w:r>
      <w:r w:rsidRPr="00F317EB">
        <w:rPr>
          <w:noProof/>
          <w:sz w:val="22"/>
          <w:szCs w:val="22"/>
        </w:rPr>
        <w:t xml:space="preserve">(Saragih, Nugroho </w:t>
      </w:r>
      <w:r w:rsidR="00344650" w:rsidRPr="00F317EB">
        <w:rPr>
          <w:noProof/>
          <w:sz w:val="22"/>
          <w:szCs w:val="22"/>
        </w:rPr>
        <w:t>and</w:t>
      </w:r>
      <w:r w:rsidRPr="00F317EB">
        <w:rPr>
          <w:noProof/>
          <w:sz w:val="22"/>
          <w:szCs w:val="22"/>
        </w:rPr>
        <w:t xml:space="preserve"> Eko, 2013)</w:t>
      </w:r>
      <w:r w:rsidRPr="00F317EB">
        <w:rPr>
          <w:sz w:val="22"/>
          <w:szCs w:val="22"/>
        </w:rPr>
        <w:t xml:space="preserve">. In accord with this, </w:t>
      </w:r>
      <w:r w:rsidRPr="00F317EB">
        <w:rPr>
          <w:noProof/>
          <w:sz w:val="22"/>
          <w:szCs w:val="22"/>
        </w:rPr>
        <w:t>Liao, Luo, and Tang (2015)</w:t>
      </w:r>
      <w:r w:rsidRPr="00F317EB">
        <w:rPr>
          <w:sz w:val="22"/>
          <w:szCs w:val="22"/>
        </w:rPr>
        <w:t xml:space="preserve"> argue that a company with more members of the board commissioner tends to be more concern about environmental issues. </w:t>
      </w:r>
      <w:r w:rsidRPr="00F317EB">
        <w:rPr>
          <w:noProof/>
          <w:sz w:val="22"/>
          <w:szCs w:val="22"/>
        </w:rPr>
        <w:t>Rankin, Windsor and Wahyuni (2011)</w:t>
      </w:r>
      <w:r w:rsidRPr="00F317EB">
        <w:rPr>
          <w:sz w:val="22"/>
          <w:szCs w:val="22"/>
        </w:rPr>
        <w:t xml:space="preserve"> also find that quality of corporate governance positively correlates with voluntarily disclose of </w:t>
      </w:r>
      <w:proofErr w:type="spellStart"/>
      <w:r w:rsidRPr="00F317EB">
        <w:rPr>
          <w:sz w:val="22"/>
          <w:szCs w:val="22"/>
        </w:rPr>
        <w:t>GHG</w:t>
      </w:r>
      <w:proofErr w:type="spellEnd"/>
      <w:r w:rsidRPr="00F317EB">
        <w:rPr>
          <w:sz w:val="22"/>
          <w:szCs w:val="22"/>
        </w:rPr>
        <w:t xml:space="preserve"> emissions. This leads to the following hypotheses:</w:t>
      </w:r>
    </w:p>
    <w:p w:rsidR="00F22990" w:rsidRPr="00F317EB" w:rsidRDefault="00F22990" w:rsidP="00F22990">
      <w:pPr>
        <w:ind w:left="450"/>
        <w:contextualSpacing/>
        <w:jc w:val="both"/>
        <w:rPr>
          <w:b/>
          <w:sz w:val="22"/>
          <w:szCs w:val="22"/>
        </w:rPr>
      </w:pPr>
    </w:p>
    <w:p w:rsidR="00F22990" w:rsidRPr="00F317EB" w:rsidRDefault="0085776F" w:rsidP="00F22990">
      <w:pPr>
        <w:contextualSpacing/>
        <w:jc w:val="both"/>
        <w:rPr>
          <w:sz w:val="22"/>
          <w:szCs w:val="22"/>
        </w:rPr>
      </w:pPr>
      <w:r w:rsidRPr="00F317EB">
        <w:rPr>
          <w:b/>
          <w:sz w:val="22"/>
          <w:szCs w:val="22"/>
        </w:rPr>
        <w:t>H</w:t>
      </w:r>
      <w:r w:rsidR="00F317EB" w:rsidRPr="00F317EB">
        <w:rPr>
          <w:b/>
          <w:sz w:val="22"/>
          <w:szCs w:val="22"/>
        </w:rPr>
        <w:t>ypothesis 2</w:t>
      </w:r>
      <w:r w:rsidRPr="00F317EB">
        <w:rPr>
          <w:b/>
          <w:sz w:val="22"/>
          <w:szCs w:val="22"/>
        </w:rPr>
        <w:t>:</w:t>
      </w:r>
      <w:r w:rsidR="00F22990" w:rsidRPr="00F317EB">
        <w:rPr>
          <w:sz w:val="22"/>
          <w:szCs w:val="22"/>
        </w:rPr>
        <w:tab/>
        <w:t>Board Size affects environmental performance</w:t>
      </w:r>
    </w:p>
    <w:p w:rsidR="00F22990" w:rsidRPr="00F317EB" w:rsidRDefault="0085776F" w:rsidP="00F317EB">
      <w:pPr>
        <w:contextualSpacing/>
        <w:jc w:val="both"/>
        <w:rPr>
          <w:sz w:val="22"/>
          <w:szCs w:val="22"/>
        </w:rPr>
      </w:pPr>
      <w:r w:rsidRPr="00F317EB">
        <w:rPr>
          <w:b/>
          <w:sz w:val="22"/>
          <w:szCs w:val="22"/>
        </w:rPr>
        <w:t>H</w:t>
      </w:r>
      <w:r w:rsidR="00F317EB" w:rsidRPr="00F317EB">
        <w:rPr>
          <w:b/>
          <w:sz w:val="22"/>
          <w:szCs w:val="22"/>
        </w:rPr>
        <w:t>ypothesis 3</w:t>
      </w:r>
      <w:r w:rsidRPr="00F317EB">
        <w:rPr>
          <w:b/>
          <w:sz w:val="22"/>
          <w:szCs w:val="22"/>
        </w:rPr>
        <w:t>:</w:t>
      </w:r>
      <w:r w:rsidR="00F22990" w:rsidRPr="00F317EB">
        <w:rPr>
          <w:sz w:val="22"/>
          <w:szCs w:val="22"/>
          <w:vertAlign w:val="subscript"/>
        </w:rPr>
        <w:tab/>
      </w:r>
      <w:r w:rsidR="00F22990" w:rsidRPr="00F317EB">
        <w:rPr>
          <w:sz w:val="22"/>
          <w:szCs w:val="22"/>
        </w:rPr>
        <w:t>Board size affects carbon emission disclosure of manufacturing companies in Indonesia</w:t>
      </w:r>
    </w:p>
    <w:p w:rsidR="00F22990" w:rsidRPr="00F22990" w:rsidRDefault="00F22990" w:rsidP="00F22990">
      <w:pPr>
        <w:jc w:val="both"/>
        <w:rPr>
          <w:b/>
          <w:sz w:val="22"/>
          <w:szCs w:val="22"/>
        </w:rPr>
      </w:pPr>
    </w:p>
    <w:p w:rsidR="00F22990" w:rsidRPr="00F22990" w:rsidRDefault="00F22990" w:rsidP="00F22990">
      <w:pPr>
        <w:jc w:val="both"/>
        <w:rPr>
          <w:b/>
          <w:sz w:val="22"/>
          <w:szCs w:val="22"/>
        </w:rPr>
      </w:pPr>
      <w:r w:rsidRPr="00F22990">
        <w:rPr>
          <w:b/>
          <w:sz w:val="22"/>
          <w:szCs w:val="22"/>
        </w:rPr>
        <w:t xml:space="preserve">The Effect of Profitability on PROPER and </w:t>
      </w:r>
      <w:proofErr w:type="spellStart"/>
      <w:r w:rsidRPr="00F22990">
        <w:rPr>
          <w:b/>
          <w:sz w:val="22"/>
          <w:szCs w:val="22"/>
        </w:rPr>
        <w:t>CED</w:t>
      </w:r>
      <w:proofErr w:type="spellEnd"/>
    </w:p>
    <w:p w:rsidR="00F22990" w:rsidRPr="00F22990" w:rsidRDefault="00F22990" w:rsidP="00F22990">
      <w:pPr>
        <w:jc w:val="both"/>
        <w:rPr>
          <w:sz w:val="22"/>
          <w:szCs w:val="22"/>
        </w:rPr>
      </w:pPr>
    </w:p>
    <w:p w:rsidR="00F22990" w:rsidRPr="00CB5FD4" w:rsidRDefault="00F22990" w:rsidP="00F22990">
      <w:pPr>
        <w:jc w:val="both"/>
        <w:rPr>
          <w:sz w:val="22"/>
          <w:szCs w:val="22"/>
        </w:rPr>
      </w:pPr>
      <w:r w:rsidRPr="00CB5FD4">
        <w:rPr>
          <w:sz w:val="22"/>
          <w:szCs w:val="22"/>
        </w:rPr>
        <w:t xml:space="preserve">To properly manage environment, a company should have sufficient financial resources </w:t>
      </w:r>
      <w:r w:rsidRPr="00CB5FD4">
        <w:rPr>
          <w:noProof/>
          <w:sz w:val="22"/>
          <w:szCs w:val="22"/>
        </w:rPr>
        <w:t>(Doonan et al., 2005)</w:t>
      </w:r>
      <w:r w:rsidRPr="00CB5FD4">
        <w:rPr>
          <w:sz w:val="22"/>
          <w:szCs w:val="22"/>
        </w:rPr>
        <w:t xml:space="preserve"> as it is becoming more expensive for the companies to cleanup pollutions from their operation </w:t>
      </w:r>
      <w:r w:rsidRPr="00CB5FD4">
        <w:rPr>
          <w:noProof/>
          <w:sz w:val="22"/>
          <w:szCs w:val="22"/>
        </w:rPr>
        <w:t>(Hutchison, 2011)</w:t>
      </w:r>
      <w:r w:rsidRPr="00CB5FD4">
        <w:rPr>
          <w:sz w:val="22"/>
          <w:szCs w:val="22"/>
        </w:rPr>
        <w:t xml:space="preserve">. Nevertheless, environmental management is important for the companies for maintaining their legitimacy in the community </w:t>
      </w:r>
      <w:r w:rsidRPr="00CB5FD4">
        <w:rPr>
          <w:noProof/>
          <w:sz w:val="22"/>
          <w:szCs w:val="22"/>
        </w:rPr>
        <w:t xml:space="preserve">(Dowling </w:t>
      </w:r>
      <w:r w:rsidR="00344650" w:rsidRPr="00CB5FD4">
        <w:rPr>
          <w:noProof/>
          <w:sz w:val="22"/>
          <w:szCs w:val="22"/>
        </w:rPr>
        <w:t>and</w:t>
      </w:r>
      <w:r w:rsidRPr="00CB5FD4">
        <w:rPr>
          <w:noProof/>
          <w:sz w:val="22"/>
          <w:szCs w:val="22"/>
        </w:rPr>
        <w:t xml:space="preserve"> Pfeffer, 1975)</w:t>
      </w:r>
      <w:r w:rsidRPr="00CB5FD4">
        <w:rPr>
          <w:sz w:val="22"/>
          <w:szCs w:val="22"/>
        </w:rPr>
        <w:t xml:space="preserve"> as well as providing secure atmosphere or benefits for them </w:t>
      </w:r>
      <w:r w:rsidRPr="00CB5FD4">
        <w:rPr>
          <w:noProof/>
          <w:sz w:val="22"/>
          <w:szCs w:val="22"/>
        </w:rPr>
        <w:t>(Gray et al., 1995)</w:t>
      </w:r>
      <w:r w:rsidRPr="00CB5FD4">
        <w:rPr>
          <w:sz w:val="22"/>
          <w:szCs w:val="22"/>
        </w:rPr>
        <w:t xml:space="preserve">. A company with sound financial performance would have no difficulty to make both structure and infrastructure investments for the purpose of managing environment. As one of indicators of financial performance, profitability is likely to affect PROPER rating. A study conducted by Kim </w:t>
      </w:r>
      <w:r w:rsidRPr="00CB5FD4">
        <w:rPr>
          <w:noProof/>
          <w:sz w:val="22"/>
          <w:szCs w:val="22"/>
        </w:rPr>
        <w:t>(2015)</w:t>
      </w:r>
      <w:r w:rsidRPr="00CB5FD4">
        <w:rPr>
          <w:sz w:val="22"/>
          <w:szCs w:val="22"/>
        </w:rPr>
        <w:t xml:space="preserve"> shows that profitability and environmental performance have contingent causality direction. Even though, carbon emission disclosure is part of environmental reporting </w:t>
      </w:r>
      <w:r w:rsidRPr="00CB5FD4">
        <w:rPr>
          <w:noProof/>
          <w:sz w:val="22"/>
          <w:szCs w:val="22"/>
        </w:rPr>
        <w:t>(</w:t>
      </w:r>
      <w:proofErr w:type="spellStart"/>
      <w:r w:rsidR="007B7DA8" w:rsidRPr="00CB5FD4">
        <w:rPr>
          <w:sz w:val="22"/>
          <w:szCs w:val="22"/>
        </w:rPr>
        <w:t>Kusuma</w:t>
      </w:r>
      <w:r w:rsidR="004E239A" w:rsidRPr="00CB5FD4">
        <w:rPr>
          <w:sz w:val="22"/>
          <w:szCs w:val="22"/>
        </w:rPr>
        <w:t>h</w:t>
      </w:r>
      <w:proofErr w:type="spellEnd"/>
      <w:r w:rsidR="007B7DA8" w:rsidRPr="00CB5FD4">
        <w:rPr>
          <w:sz w:val="22"/>
          <w:szCs w:val="22"/>
        </w:rPr>
        <w:t xml:space="preserve">, </w:t>
      </w:r>
      <w:proofErr w:type="spellStart"/>
      <w:r w:rsidR="007B7DA8" w:rsidRPr="00CB5FD4">
        <w:rPr>
          <w:sz w:val="22"/>
          <w:szCs w:val="22"/>
        </w:rPr>
        <w:t>Manurung</w:t>
      </w:r>
      <w:proofErr w:type="spellEnd"/>
      <w:r w:rsidR="007B7DA8" w:rsidRPr="00CB5FD4">
        <w:rPr>
          <w:sz w:val="22"/>
          <w:szCs w:val="22"/>
        </w:rPr>
        <w:t xml:space="preserve">, </w:t>
      </w:r>
      <w:proofErr w:type="spellStart"/>
      <w:r w:rsidR="007B7DA8" w:rsidRPr="00CB5FD4">
        <w:rPr>
          <w:sz w:val="22"/>
          <w:szCs w:val="22"/>
        </w:rPr>
        <w:t>Oktari</w:t>
      </w:r>
      <w:proofErr w:type="spellEnd"/>
      <w:r w:rsidR="007B7DA8" w:rsidRPr="00CB5FD4">
        <w:rPr>
          <w:sz w:val="22"/>
          <w:szCs w:val="22"/>
        </w:rPr>
        <w:t xml:space="preserve">, and </w:t>
      </w:r>
      <w:proofErr w:type="spellStart"/>
      <w:r w:rsidR="007B7DA8" w:rsidRPr="00CB5FD4">
        <w:rPr>
          <w:sz w:val="22"/>
          <w:szCs w:val="22"/>
        </w:rPr>
        <w:t>Hasnatarina</w:t>
      </w:r>
      <w:proofErr w:type="spellEnd"/>
      <w:r w:rsidR="007B7DA8" w:rsidRPr="00CB5FD4">
        <w:rPr>
          <w:noProof/>
          <w:sz w:val="22"/>
          <w:szCs w:val="22"/>
        </w:rPr>
        <w:t>, 2016)</w:t>
      </w:r>
      <w:r w:rsidRPr="00CB5FD4">
        <w:rPr>
          <w:sz w:val="22"/>
          <w:szCs w:val="22"/>
        </w:rPr>
        <w:t xml:space="preserve">, the influence of profitability on environmental reporting and carbon emission disclosures seems to be insignificant </w:t>
      </w:r>
      <w:r w:rsidRPr="00CB5FD4">
        <w:rPr>
          <w:noProof/>
          <w:sz w:val="22"/>
          <w:szCs w:val="22"/>
        </w:rPr>
        <w:t>(</w:t>
      </w:r>
      <w:proofErr w:type="spellStart"/>
      <w:r w:rsidR="007B7DA8" w:rsidRPr="00CB5FD4">
        <w:rPr>
          <w:sz w:val="22"/>
          <w:szCs w:val="22"/>
        </w:rPr>
        <w:t>Kusuma</w:t>
      </w:r>
      <w:r w:rsidR="004E239A" w:rsidRPr="00CB5FD4">
        <w:rPr>
          <w:sz w:val="22"/>
          <w:szCs w:val="22"/>
        </w:rPr>
        <w:t>h</w:t>
      </w:r>
      <w:proofErr w:type="spellEnd"/>
      <w:r w:rsidR="007B7DA8" w:rsidRPr="00CB5FD4">
        <w:rPr>
          <w:sz w:val="22"/>
          <w:szCs w:val="22"/>
        </w:rPr>
        <w:t xml:space="preserve">, </w:t>
      </w:r>
      <w:proofErr w:type="spellStart"/>
      <w:r w:rsidR="007B7DA8" w:rsidRPr="00CB5FD4">
        <w:rPr>
          <w:sz w:val="22"/>
          <w:szCs w:val="22"/>
        </w:rPr>
        <w:t>Manurung</w:t>
      </w:r>
      <w:proofErr w:type="spellEnd"/>
      <w:r w:rsidR="007B7DA8" w:rsidRPr="00CB5FD4">
        <w:rPr>
          <w:sz w:val="22"/>
          <w:szCs w:val="22"/>
        </w:rPr>
        <w:t xml:space="preserve">, </w:t>
      </w:r>
      <w:proofErr w:type="spellStart"/>
      <w:r w:rsidR="007B7DA8" w:rsidRPr="00CB5FD4">
        <w:rPr>
          <w:sz w:val="22"/>
          <w:szCs w:val="22"/>
        </w:rPr>
        <w:t>Oktari</w:t>
      </w:r>
      <w:proofErr w:type="spellEnd"/>
      <w:r w:rsidR="007B7DA8" w:rsidRPr="00CB5FD4">
        <w:rPr>
          <w:sz w:val="22"/>
          <w:szCs w:val="22"/>
        </w:rPr>
        <w:t xml:space="preserve">, and </w:t>
      </w:r>
      <w:proofErr w:type="spellStart"/>
      <w:r w:rsidR="007B7DA8" w:rsidRPr="00CB5FD4">
        <w:rPr>
          <w:sz w:val="22"/>
          <w:szCs w:val="22"/>
        </w:rPr>
        <w:t>Hasnatarina</w:t>
      </w:r>
      <w:proofErr w:type="spellEnd"/>
      <w:r w:rsidR="007B7DA8" w:rsidRPr="00CB5FD4">
        <w:rPr>
          <w:noProof/>
          <w:sz w:val="22"/>
          <w:szCs w:val="22"/>
        </w:rPr>
        <w:t>, 2016)</w:t>
      </w:r>
      <w:r w:rsidRPr="00CB5FD4">
        <w:rPr>
          <w:noProof/>
          <w:sz w:val="22"/>
          <w:szCs w:val="22"/>
        </w:rPr>
        <w:t xml:space="preserve">; Yusoff, Othman, </w:t>
      </w:r>
      <w:r w:rsidR="00344650" w:rsidRPr="00CB5FD4">
        <w:rPr>
          <w:noProof/>
          <w:sz w:val="22"/>
          <w:szCs w:val="22"/>
        </w:rPr>
        <w:t>and</w:t>
      </w:r>
      <w:r w:rsidRPr="00CB5FD4">
        <w:rPr>
          <w:noProof/>
          <w:sz w:val="22"/>
          <w:szCs w:val="22"/>
        </w:rPr>
        <w:t xml:space="preserve"> Yatim, 2013)</w:t>
      </w:r>
      <w:r w:rsidRPr="00CB5FD4">
        <w:rPr>
          <w:sz w:val="22"/>
          <w:szCs w:val="22"/>
        </w:rPr>
        <w:t>.</w:t>
      </w:r>
    </w:p>
    <w:p w:rsidR="00F22990" w:rsidRPr="00CB5FD4" w:rsidRDefault="00F22990" w:rsidP="0085776F">
      <w:pPr>
        <w:ind w:firstLine="284"/>
        <w:jc w:val="both"/>
        <w:rPr>
          <w:sz w:val="22"/>
          <w:szCs w:val="22"/>
        </w:rPr>
      </w:pPr>
      <w:r w:rsidRPr="00CB5FD4">
        <w:rPr>
          <w:sz w:val="22"/>
          <w:szCs w:val="22"/>
        </w:rPr>
        <w:t xml:space="preserve">Another study points out that profitability does not impact carbon emission disclosure </w:t>
      </w:r>
      <w:r w:rsidRPr="00CB5FD4">
        <w:rPr>
          <w:noProof/>
          <w:sz w:val="22"/>
          <w:szCs w:val="22"/>
        </w:rPr>
        <w:t>(Bae Choi et al., 2013; Rankin et al., 2011)</w:t>
      </w:r>
      <w:r w:rsidRPr="00CB5FD4">
        <w:rPr>
          <w:sz w:val="22"/>
          <w:szCs w:val="22"/>
        </w:rPr>
        <w:t xml:space="preserve">. Moreover, </w:t>
      </w:r>
      <w:r w:rsidRPr="00CB5FD4">
        <w:rPr>
          <w:noProof/>
          <w:sz w:val="22"/>
          <w:szCs w:val="22"/>
        </w:rPr>
        <w:t>Yanto and Muzzammil (2016)</w:t>
      </w:r>
      <w:r w:rsidRPr="00CB5FD4">
        <w:rPr>
          <w:sz w:val="22"/>
          <w:szCs w:val="22"/>
        </w:rPr>
        <w:t xml:space="preserve"> find that profitability has negative effects towards environmental reporting. In this case, </w:t>
      </w:r>
      <w:r w:rsidRPr="00CB5FD4">
        <w:rPr>
          <w:noProof/>
          <w:sz w:val="22"/>
          <w:szCs w:val="22"/>
        </w:rPr>
        <w:t>O’Donovan (2002)</w:t>
      </w:r>
      <w:r w:rsidRPr="00CB5FD4">
        <w:rPr>
          <w:sz w:val="22"/>
          <w:szCs w:val="22"/>
        </w:rPr>
        <w:t xml:space="preserve"> provides an explanation that if a company is in a good financial performance, comprehensive information on environmental reporting is not necessary to be published to prevent investors from disturbance when examining financial statements. Besides, it is voluntary to disclose carbon emissions in financial statements albeit the </w:t>
      </w:r>
      <w:r w:rsidRPr="00CB5FD4">
        <w:rPr>
          <w:noProof/>
          <w:sz w:val="22"/>
          <w:szCs w:val="22"/>
        </w:rPr>
        <w:t xml:space="preserve">Law of the Republic Indonesia No 32 of 2009, Article 68 that requires all firms to implement PROPER. </w:t>
      </w:r>
      <w:r w:rsidRPr="00CB5FD4">
        <w:rPr>
          <w:sz w:val="22"/>
          <w:szCs w:val="22"/>
        </w:rPr>
        <w:t>This leads to other formulations of hypotheses as mentioned below:</w:t>
      </w:r>
    </w:p>
    <w:p w:rsidR="00F22990" w:rsidRPr="00CB5FD4" w:rsidRDefault="00F22990" w:rsidP="00F22990">
      <w:pPr>
        <w:ind w:left="450"/>
        <w:contextualSpacing/>
        <w:jc w:val="both"/>
        <w:rPr>
          <w:b/>
          <w:sz w:val="22"/>
          <w:szCs w:val="22"/>
        </w:rPr>
      </w:pPr>
    </w:p>
    <w:p w:rsidR="00F22990" w:rsidRPr="00F317EB" w:rsidRDefault="0085776F" w:rsidP="00CB5FD4">
      <w:pPr>
        <w:contextualSpacing/>
        <w:jc w:val="both"/>
        <w:rPr>
          <w:sz w:val="22"/>
          <w:szCs w:val="22"/>
        </w:rPr>
      </w:pPr>
      <w:r w:rsidRPr="00CB5FD4">
        <w:rPr>
          <w:b/>
          <w:sz w:val="22"/>
          <w:szCs w:val="22"/>
        </w:rPr>
        <w:t>H</w:t>
      </w:r>
      <w:r w:rsidR="00F317EB" w:rsidRPr="00CB5FD4">
        <w:rPr>
          <w:b/>
          <w:sz w:val="22"/>
          <w:szCs w:val="22"/>
        </w:rPr>
        <w:t>ypothesis 4</w:t>
      </w:r>
      <w:r w:rsidRPr="00CB5FD4">
        <w:rPr>
          <w:b/>
          <w:sz w:val="22"/>
          <w:szCs w:val="22"/>
        </w:rPr>
        <w:t>:</w:t>
      </w:r>
      <w:r w:rsidR="00F22990" w:rsidRPr="00CB5FD4">
        <w:rPr>
          <w:sz w:val="22"/>
          <w:szCs w:val="22"/>
        </w:rPr>
        <w:tab/>
        <w:t xml:space="preserve">Profitability proxied by </w:t>
      </w:r>
      <w:proofErr w:type="spellStart"/>
      <w:r w:rsidR="00F22990" w:rsidRPr="00CB5FD4">
        <w:rPr>
          <w:sz w:val="22"/>
          <w:szCs w:val="22"/>
        </w:rPr>
        <w:t>ROA</w:t>
      </w:r>
      <w:proofErr w:type="spellEnd"/>
      <w:r w:rsidR="00F22990" w:rsidRPr="00CB5FD4">
        <w:rPr>
          <w:sz w:val="22"/>
          <w:szCs w:val="22"/>
        </w:rPr>
        <w:t xml:space="preserve"> affects PROPER rating of Indonesian </w:t>
      </w:r>
      <w:r w:rsidR="00F22990" w:rsidRPr="00F317EB">
        <w:rPr>
          <w:sz w:val="22"/>
          <w:szCs w:val="22"/>
        </w:rPr>
        <w:t>manufacturing companies</w:t>
      </w:r>
    </w:p>
    <w:p w:rsidR="00F22990" w:rsidRPr="00F22990" w:rsidRDefault="0085776F" w:rsidP="00F22990">
      <w:pPr>
        <w:contextualSpacing/>
        <w:jc w:val="both"/>
        <w:rPr>
          <w:sz w:val="22"/>
          <w:szCs w:val="22"/>
        </w:rPr>
      </w:pPr>
      <w:r w:rsidRPr="00F317EB">
        <w:rPr>
          <w:b/>
          <w:sz w:val="22"/>
          <w:szCs w:val="22"/>
        </w:rPr>
        <w:t>H</w:t>
      </w:r>
      <w:r w:rsidR="00F317EB" w:rsidRPr="00F317EB">
        <w:rPr>
          <w:b/>
          <w:sz w:val="22"/>
          <w:szCs w:val="22"/>
        </w:rPr>
        <w:t>ypothesis 5</w:t>
      </w:r>
      <w:r w:rsidRPr="00F317EB">
        <w:rPr>
          <w:b/>
          <w:sz w:val="22"/>
          <w:szCs w:val="22"/>
        </w:rPr>
        <w:t>:</w:t>
      </w:r>
      <w:r w:rsidR="00F22990" w:rsidRPr="00F317EB">
        <w:rPr>
          <w:sz w:val="22"/>
          <w:szCs w:val="22"/>
        </w:rPr>
        <w:tab/>
        <w:t xml:space="preserve">Profitability does not affect </w:t>
      </w:r>
      <w:proofErr w:type="spellStart"/>
      <w:r w:rsidR="00F22990" w:rsidRPr="00F317EB">
        <w:rPr>
          <w:sz w:val="22"/>
          <w:szCs w:val="22"/>
        </w:rPr>
        <w:t>CED</w:t>
      </w:r>
      <w:proofErr w:type="spellEnd"/>
      <w:r w:rsidR="00F22990" w:rsidRPr="00F317EB">
        <w:rPr>
          <w:sz w:val="22"/>
          <w:szCs w:val="22"/>
        </w:rPr>
        <w:t xml:space="preserve"> of Indonesian manufacturing </w:t>
      </w:r>
      <w:r w:rsidR="00F22990" w:rsidRPr="00F22990">
        <w:rPr>
          <w:sz w:val="22"/>
          <w:szCs w:val="22"/>
        </w:rPr>
        <w:t>companies</w:t>
      </w:r>
    </w:p>
    <w:p w:rsidR="00F22990" w:rsidRPr="00F22990" w:rsidRDefault="00F22990" w:rsidP="00F22990">
      <w:pPr>
        <w:contextualSpacing/>
        <w:jc w:val="both"/>
        <w:rPr>
          <w:b/>
          <w:sz w:val="22"/>
          <w:szCs w:val="22"/>
        </w:rPr>
      </w:pPr>
      <w:r w:rsidRPr="00F22990">
        <w:rPr>
          <w:b/>
          <w:sz w:val="22"/>
          <w:szCs w:val="22"/>
        </w:rPr>
        <w:lastRenderedPageBreak/>
        <w:t xml:space="preserve">The Effect of Company’s Leverage on </w:t>
      </w:r>
      <w:proofErr w:type="spellStart"/>
      <w:r w:rsidRPr="00F22990">
        <w:rPr>
          <w:b/>
          <w:sz w:val="22"/>
          <w:szCs w:val="22"/>
        </w:rPr>
        <w:t>CED</w:t>
      </w:r>
      <w:proofErr w:type="spellEnd"/>
      <w:r w:rsidRPr="00F22990">
        <w:rPr>
          <w:b/>
          <w:sz w:val="22"/>
          <w:szCs w:val="22"/>
        </w:rPr>
        <w:t xml:space="preserve"> and PROPER</w:t>
      </w:r>
    </w:p>
    <w:p w:rsidR="00F22990" w:rsidRPr="00F22990" w:rsidRDefault="00F22990" w:rsidP="00F22990">
      <w:pPr>
        <w:contextualSpacing/>
        <w:jc w:val="both"/>
        <w:rPr>
          <w:sz w:val="22"/>
          <w:szCs w:val="22"/>
        </w:rPr>
      </w:pPr>
    </w:p>
    <w:p w:rsidR="00F22990" w:rsidRPr="00F22990" w:rsidRDefault="00F22990" w:rsidP="0085776F">
      <w:pPr>
        <w:ind w:firstLine="284"/>
        <w:contextualSpacing/>
        <w:jc w:val="both"/>
        <w:rPr>
          <w:sz w:val="22"/>
          <w:szCs w:val="22"/>
        </w:rPr>
      </w:pPr>
      <w:r w:rsidRPr="00F22990">
        <w:rPr>
          <w:sz w:val="22"/>
          <w:szCs w:val="22"/>
        </w:rPr>
        <w:t xml:space="preserve">To generate quality of environmental information, firms should make investments in the project of environmental management.  In this case, the company should incur expenses on information costs. On the other hand, those with high leverage have to pay higher cost of capital. This may result in cutting down expenses on information costs.   </w:t>
      </w:r>
      <w:r w:rsidRPr="00F22990">
        <w:rPr>
          <w:noProof/>
          <w:sz w:val="22"/>
          <w:szCs w:val="22"/>
        </w:rPr>
        <w:t>Belkaoui and Karpik (1989)</w:t>
      </w:r>
      <w:r w:rsidRPr="00F22990">
        <w:rPr>
          <w:sz w:val="22"/>
          <w:szCs w:val="22"/>
        </w:rPr>
        <w:t xml:space="preserve"> contend that leverage positively affects company’s social information disclosure. Correlation analysis performed by </w:t>
      </w:r>
      <w:r w:rsidRPr="00F22990">
        <w:rPr>
          <w:noProof/>
          <w:sz w:val="22"/>
          <w:szCs w:val="22"/>
        </w:rPr>
        <w:t>Bae Choi et al. (2013)</w:t>
      </w:r>
      <w:r w:rsidRPr="00F22990">
        <w:rPr>
          <w:sz w:val="22"/>
          <w:szCs w:val="22"/>
        </w:rPr>
        <w:t xml:space="preserve"> reveals a fact that leverage holds a positive relationship with </w:t>
      </w:r>
      <w:proofErr w:type="spellStart"/>
      <w:r w:rsidRPr="00F22990">
        <w:rPr>
          <w:sz w:val="22"/>
          <w:szCs w:val="22"/>
        </w:rPr>
        <w:t>CED</w:t>
      </w:r>
      <w:proofErr w:type="spellEnd"/>
      <w:r w:rsidRPr="00F22990">
        <w:rPr>
          <w:sz w:val="22"/>
          <w:szCs w:val="22"/>
        </w:rPr>
        <w:t xml:space="preserve"> while regression analysis displays insignificant beta. According to </w:t>
      </w:r>
      <w:r w:rsidRPr="00F22990">
        <w:rPr>
          <w:noProof/>
          <w:sz w:val="22"/>
          <w:szCs w:val="22"/>
        </w:rPr>
        <w:t xml:space="preserve">Yanto and Muzzammil (2016), leverage positively affect </w:t>
      </w:r>
      <w:r w:rsidRPr="00F22990">
        <w:rPr>
          <w:sz w:val="22"/>
          <w:szCs w:val="22"/>
        </w:rPr>
        <w:t>environmental reporting of mining companies in Indonesia.</w:t>
      </w:r>
    </w:p>
    <w:p w:rsidR="00F22990" w:rsidRPr="00CB5FD4" w:rsidRDefault="00F22990" w:rsidP="00F22990">
      <w:pPr>
        <w:ind w:firstLine="270"/>
        <w:contextualSpacing/>
        <w:jc w:val="both"/>
        <w:rPr>
          <w:sz w:val="22"/>
          <w:szCs w:val="22"/>
        </w:rPr>
      </w:pPr>
      <w:r w:rsidRPr="00CB5FD4">
        <w:rPr>
          <w:sz w:val="22"/>
          <w:szCs w:val="22"/>
        </w:rPr>
        <w:t xml:space="preserve">Regarding the above-mentioned statements, </w:t>
      </w:r>
      <w:r w:rsidRPr="00CB5FD4">
        <w:rPr>
          <w:noProof/>
          <w:sz w:val="22"/>
          <w:szCs w:val="22"/>
        </w:rPr>
        <w:t xml:space="preserve">Law </w:t>
      </w:r>
      <w:r w:rsidRPr="00CB5FD4">
        <w:rPr>
          <w:sz w:val="22"/>
          <w:szCs w:val="22"/>
        </w:rPr>
        <w:t xml:space="preserve">No. 32 of 2009 compels all firms to actively engage in the environmental management. This indicates that the implementation of PROPER not only depends on the leverage, but also depends on the law enforcement. In this case, the company implements PROPER for the purpose of complying with the law, but PROPER rating is also determined by internal factors such as leverage. Nevertheless, </w:t>
      </w:r>
      <w:proofErr w:type="spellStart"/>
      <w:r w:rsidR="00E97628" w:rsidRPr="00CB5FD4">
        <w:rPr>
          <w:sz w:val="22"/>
          <w:szCs w:val="22"/>
          <w:lang w:eastAsia="en-AU"/>
        </w:rPr>
        <w:t>Supiyanto</w:t>
      </w:r>
      <w:proofErr w:type="spellEnd"/>
      <w:r w:rsidR="00E97628" w:rsidRPr="00CB5FD4">
        <w:rPr>
          <w:sz w:val="22"/>
          <w:szCs w:val="22"/>
          <w:lang w:eastAsia="en-AU"/>
        </w:rPr>
        <w:t xml:space="preserve"> and </w:t>
      </w:r>
      <w:proofErr w:type="spellStart"/>
      <w:r w:rsidR="00E97628" w:rsidRPr="00CB5FD4">
        <w:rPr>
          <w:sz w:val="22"/>
          <w:szCs w:val="22"/>
          <w:lang w:eastAsia="en-AU"/>
        </w:rPr>
        <w:t>Pratiwi</w:t>
      </w:r>
      <w:proofErr w:type="spellEnd"/>
      <w:r w:rsidR="00E97628" w:rsidRPr="00CB5FD4">
        <w:rPr>
          <w:sz w:val="22"/>
          <w:szCs w:val="22"/>
          <w:lang w:eastAsia="en-AU"/>
        </w:rPr>
        <w:t xml:space="preserve"> (2017)</w:t>
      </w:r>
      <w:r w:rsidRPr="00CB5FD4">
        <w:rPr>
          <w:noProof/>
          <w:sz w:val="22"/>
          <w:szCs w:val="22"/>
        </w:rPr>
        <w:t xml:space="preserve"> </w:t>
      </w:r>
      <w:r w:rsidRPr="00CB5FD4">
        <w:rPr>
          <w:sz w:val="22"/>
          <w:szCs w:val="22"/>
        </w:rPr>
        <w:t>find that leverage does not affect environmental performance of manufacturing companies. Thus, this study comes up with these below-mentioned hypotheses.</w:t>
      </w:r>
    </w:p>
    <w:p w:rsidR="00F22990" w:rsidRPr="00F317EB" w:rsidRDefault="00F22990" w:rsidP="00F22990">
      <w:pPr>
        <w:ind w:firstLine="360"/>
        <w:contextualSpacing/>
        <w:jc w:val="both"/>
        <w:rPr>
          <w:b/>
          <w:sz w:val="22"/>
          <w:szCs w:val="22"/>
        </w:rPr>
      </w:pPr>
    </w:p>
    <w:p w:rsidR="00F22990" w:rsidRPr="00F317EB" w:rsidRDefault="0085776F" w:rsidP="00F317EB">
      <w:pPr>
        <w:contextualSpacing/>
        <w:jc w:val="both"/>
        <w:rPr>
          <w:sz w:val="22"/>
          <w:szCs w:val="22"/>
        </w:rPr>
      </w:pPr>
      <w:r w:rsidRPr="00F317EB">
        <w:rPr>
          <w:b/>
          <w:sz w:val="22"/>
          <w:szCs w:val="22"/>
        </w:rPr>
        <w:t>H</w:t>
      </w:r>
      <w:r w:rsidR="00F317EB" w:rsidRPr="00F317EB">
        <w:rPr>
          <w:b/>
          <w:sz w:val="22"/>
          <w:szCs w:val="22"/>
        </w:rPr>
        <w:t>ypothesis 6</w:t>
      </w:r>
      <w:r w:rsidRPr="00F317EB">
        <w:rPr>
          <w:b/>
          <w:sz w:val="22"/>
          <w:szCs w:val="22"/>
        </w:rPr>
        <w:t>:</w:t>
      </w:r>
      <w:r w:rsidR="00F22990" w:rsidRPr="00F317EB">
        <w:rPr>
          <w:sz w:val="22"/>
          <w:szCs w:val="22"/>
        </w:rPr>
        <w:tab/>
        <w:t xml:space="preserve">Leverage significantly affects </w:t>
      </w:r>
      <w:proofErr w:type="spellStart"/>
      <w:r w:rsidR="00F22990" w:rsidRPr="00F317EB">
        <w:rPr>
          <w:sz w:val="22"/>
          <w:szCs w:val="22"/>
        </w:rPr>
        <w:t>CED</w:t>
      </w:r>
      <w:proofErr w:type="spellEnd"/>
      <w:r w:rsidR="00F22990" w:rsidRPr="00F317EB">
        <w:rPr>
          <w:sz w:val="22"/>
          <w:szCs w:val="22"/>
        </w:rPr>
        <w:t xml:space="preserve"> of manufacturing companies in Indonesia</w:t>
      </w:r>
    </w:p>
    <w:p w:rsidR="00F22990" w:rsidRPr="00F317EB" w:rsidRDefault="0085776F" w:rsidP="00F317EB">
      <w:pPr>
        <w:contextualSpacing/>
        <w:jc w:val="both"/>
        <w:rPr>
          <w:sz w:val="22"/>
          <w:szCs w:val="22"/>
        </w:rPr>
      </w:pPr>
      <w:r w:rsidRPr="00F317EB">
        <w:rPr>
          <w:b/>
          <w:sz w:val="22"/>
          <w:szCs w:val="22"/>
        </w:rPr>
        <w:t>H</w:t>
      </w:r>
      <w:r w:rsidR="00F317EB" w:rsidRPr="00F317EB">
        <w:rPr>
          <w:b/>
          <w:sz w:val="22"/>
          <w:szCs w:val="22"/>
        </w:rPr>
        <w:t>ypothesis 7</w:t>
      </w:r>
      <w:r w:rsidR="002D014D" w:rsidRPr="00F317EB">
        <w:rPr>
          <w:b/>
          <w:sz w:val="22"/>
          <w:szCs w:val="22"/>
        </w:rPr>
        <w:t>:</w:t>
      </w:r>
      <w:r w:rsidR="00F22990" w:rsidRPr="00F317EB">
        <w:rPr>
          <w:sz w:val="22"/>
          <w:szCs w:val="22"/>
          <w:vertAlign w:val="subscript"/>
        </w:rPr>
        <w:tab/>
      </w:r>
      <w:r w:rsidR="00F22990" w:rsidRPr="00F317EB">
        <w:rPr>
          <w:sz w:val="22"/>
          <w:szCs w:val="22"/>
        </w:rPr>
        <w:t>Leverage does not affect environmental performance measured by PROPER rating</w:t>
      </w:r>
    </w:p>
    <w:p w:rsidR="00F22990" w:rsidRPr="00F317EB" w:rsidRDefault="00F22990" w:rsidP="00F22990">
      <w:pPr>
        <w:contextualSpacing/>
        <w:jc w:val="both"/>
        <w:rPr>
          <w:b/>
          <w:sz w:val="22"/>
          <w:szCs w:val="22"/>
        </w:rPr>
      </w:pPr>
    </w:p>
    <w:p w:rsidR="00F22990" w:rsidRPr="00F317EB" w:rsidRDefault="00F22990" w:rsidP="00F22990">
      <w:pPr>
        <w:contextualSpacing/>
        <w:jc w:val="both"/>
        <w:rPr>
          <w:b/>
          <w:sz w:val="22"/>
          <w:szCs w:val="22"/>
        </w:rPr>
      </w:pPr>
      <w:r w:rsidRPr="00F317EB">
        <w:rPr>
          <w:b/>
          <w:sz w:val="22"/>
          <w:szCs w:val="22"/>
        </w:rPr>
        <w:t>Company Size and Board Size</w:t>
      </w:r>
    </w:p>
    <w:p w:rsidR="00F22990" w:rsidRPr="00F317EB" w:rsidRDefault="00F22990" w:rsidP="00F22990">
      <w:pPr>
        <w:contextualSpacing/>
        <w:jc w:val="both"/>
        <w:rPr>
          <w:sz w:val="22"/>
          <w:szCs w:val="22"/>
        </w:rPr>
      </w:pPr>
    </w:p>
    <w:p w:rsidR="00F22990" w:rsidRPr="00F317EB" w:rsidRDefault="00F22990" w:rsidP="0085776F">
      <w:pPr>
        <w:ind w:firstLine="284"/>
        <w:contextualSpacing/>
        <w:jc w:val="both"/>
        <w:rPr>
          <w:sz w:val="22"/>
          <w:szCs w:val="22"/>
        </w:rPr>
      </w:pPr>
      <w:r w:rsidRPr="00F317EB">
        <w:rPr>
          <w:sz w:val="22"/>
          <w:szCs w:val="22"/>
        </w:rPr>
        <w:t xml:space="preserve">Assets could be measures of economy of scale as well as resources owned by company. Company size proxied by assets possession is a salient corporate characteristic </w:t>
      </w:r>
      <w:r w:rsidRPr="00F317EB">
        <w:rPr>
          <w:noProof/>
          <w:sz w:val="22"/>
          <w:szCs w:val="22"/>
        </w:rPr>
        <w:t xml:space="preserve">(Dang </w:t>
      </w:r>
      <w:r w:rsidR="00344650" w:rsidRPr="00F317EB">
        <w:rPr>
          <w:noProof/>
          <w:sz w:val="22"/>
          <w:szCs w:val="22"/>
        </w:rPr>
        <w:t>and</w:t>
      </w:r>
      <w:r w:rsidRPr="00F317EB">
        <w:rPr>
          <w:noProof/>
          <w:sz w:val="22"/>
          <w:szCs w:val="22"/>
        </w:rPr>
        <w:t xml:space="preserve"> Li, 2014)</w:t>
      </w:r>
      <w:r w:rsidRPr="00F317EB">
        <w:rPr>
          <w:sz w:val="22"/>
          <w:szCs w:val="22"/>
        </w:rPr>
        <w:t xml:space="preserve">. A study conducted in Indonesian mining companies discovers that company size positively </w:t>
      </w:r>
      <w:r w:rsidR="00330B2F" w:rsidRPr="00F317EB">
        <w:rPr>
          <w:sz w:val="22"/>
          <w:szCs w:val="22"/>
        </w:rPr>
        <w:t>impacts</w:t>
      </w:r>
      <w:r w:rsidRPr="00F317EB">
        <w:rPr>
          <w:sz w:val="22"/>
          <w:szCs w:val="22"/>
        </w:rPr>
        <w:t xml:space="preserve"> on environmental reporting, but negatively influence leverage </w:t>
      </w:r>
      <w:r w:rsidRPr="00F317EB">
        <w:rPr>
          <w:noProof/>
          <w:sz w:val="22"/>
          <w:szCs w:val="22"/>
        </w:rPr>
        <w:t xml:space="preserve">(Yanto </w:t>
      </w:r>
      <w:r w:rsidR="00344650" w:rsidRPr="00F317EB">
        <w:rPr>
          <w:noProof/>
          <w:sz w:val="22"/>
          <w:szCs w:val="22"/>
        </w:rPr>
        <w:t>and</w:t>
      </w:r>
      <w:r w:rsidRPr="00F317EB">
        <w:rPr>
          <w:noProof/>
          <w:sz w:val="22"/>
          <w:szCs w:val="22"/>
        </w:rPr>
        <w:t xml:space="preserve"> Muzzammil, 2016)</w:t>
      </w:r>
      <w:r w:rsidRPr="00F317EB">
        <w:rPr>
          <w:sz w:val="22"/>
          <w:szCs w:val="22"/>
        </w:rPr>
        <w:t xml:space="preserve">. On the other hand, a study conducted in Australian firms reveals that company size does not influence </w:t>
      </w:r>
      <w:proofErr w:type="spellStart"/>
      <w:r w:rsidRPr="00F317EB">
        <w:rPr>
          <w:sz w:val="22"/>
          <w:szCs w:val="22"/>
        </w:rPr>
        <w:t>CED</w:t>
      </w:r>
      <w:proofErr w:type="spellEnd"/>
      <w:r w:rsidRPr="00F317EB">
        <w:rPr>
          <w:sz w:val="22"/>
          <w:szCs w:val="22"/>
        </w:rPr>
        <w:t xml:space="preserve"> </w:t>
      </w:r>
      <w:r w:rsidRPr="00F317EB">
        <w:rPr>
          <w:noProof/>
          <w:sz w:val="22"/>
          <w:szCs w:val="22"/>
        </w:rPr>
        <w:t>(Bae Choi et al., 2013)</w:t>
      </w:r>
      <w:r w:rsidRPr="00F317EB">
        <w:rPr>
          <w:sz w:val="22"/>
          <w:szCs w:val="22"/>
        </w:rPr>
        <w:t>.</w:t>
      </w:r>
    </w:p>
    <w:p w:rsidR="00F22990" w:rsidRPr="00F22990" w:rsidRDefault="00F22990" w:rsidP="00CB5FD4">
      <w:pPr>
        <w:ind w:firstLine="284"/>
        <w:contextualSpacing/>
        <w:jc w:val="both"/>
        <w:rPr>
          <w:sz w:val="22"/>
          <w:szCs w:val="22"/>
        </w:rPr>
      </w:pPr>
      <w:r w:rsidRPr="00F317EB">
        <w:rPr>
          <w:sz w:val="22"/>
          <w:szCs w:val="22"/>
        </w:rPr>
        <w:t xml:space="preserve">Size measured by company’s assets has a significant effect on Board Size </w:t>
      </w:r>
      <w:r w:rsidRPr="00F317EB">
        <w:rPr>
          <w:noProof/>
          <w:sz w:val="22"/>
          <w:szCs w:val="22"/>
        </w:rPr>
        <w:t xml:space="preserve">(Dang </w:t>
      </w:r>
      <w:r w:rsidR="00344650" w:rsidRPr="00F317EB">
        <w:rPr>
          <w:noProof/>
          <w:sz w:val="22"/>
          <w:szCs w:val="22"/>
        </w:rPr>
        <w:t>and</w:t>
      </w:r>
      <w:r w:rsidR="0085776F" w:rsidRPr="00F317EB">
        <w:rPr>
          <w:noProof/>
          <w:sz w:val="22"/>
          <w:szCs w:val="22"/>
        </w:rPr>
        <w:t xml:space="preserve"> </w:t>
      </w:r>
      <w:r w:rsidRPr="00F317EB">
        <w:rPr>
          <w:noProof/>
          <w:sz w:val="22"/>
          <w:szCs w:val="22"/>
        </w:rPr>
        <w:t>Li, 2014)</w:t>
      </w:r>
      <w:r w:rsidRPr="00F317EB">
        <w:rPr>
          <w:sz w:val="22"/>
          <w:szCs w:val="22"/>
        </w:rPr>
        <w:t xml:space="preserve">. It seems that the study focusing on the effect of company size on board size is limited in number. Most prior studies utilize company size and board size as predictor variables. Viewed from their duties, the board of commissioners is held accountable to perform supervisory job and provide suggestions to the board of directors. </w:t>
      </w:r>
      <w:r w:rsidRPr="00F317EB">
        <w:rPr>
          <w:noProof/>
          <w:sz w:val="22"/>
          <w:szCs w:val="22"/>
        </w:rPr>
        <w:t xml:space="preserve">Law of the Republic of Indonesia </w:t>
      </w:r>
      <w:r w:rsidRPr="00F317EB">
        <w:rPr>
          <w:sz w:val="22"/>
          <w:szCs w:val="22"/>
        </w:rPr>
        <w:t xml:space="preserve">No 40 of 2007 article 108 promulgates that boards of commissioners shall consist of one or more members, </w:t>
      </w:r>
      <w:r w:rsidRPr="00F22990">
        <w:rPr>
          <w:sz w:val="22"/>
          <w:szCs w:val="22"/>
        </w:rPr>
        <w:t>except companies whose business activities are related to the collection and/or management of the public’s funds. Relating to this issue, larger company would have higher economy of scale and have more complexity of business. Therefore, a bigger company would require more board of commissioner members. Therefore, the study formulates the following hypothesis.</w:t>
      </w:r>
    </w:p>
    <w:p w:rsidR="00F22990" w:rsidRPr="00F22990" w:rsidRDefault="00F22990" w:rsidP="00F22990">
      <w:pPr>
        <w:contextualSpacing/>
        <w:jc w:val="both"/>
        <w:rPr>
          <w:b/>
          <w:sz w:val="22"/>
          <w:szCs w:val="22"/>
        </w:rPr>
      </w:pPr>
    </w:p>
    <w:p w:rsidR="00F22990" w:rsidRPr="00F317EB" w:rsidRDefault="00F317EB" w:rsidP="00F22990">
      <w:pPr>
        <w:contextualSpacing/>
        <w:jc w:val="both"/>
        <w:rPr>
          <w:sz w:val="22"/>
          <w:szCs w:val="22"/>
        </w:rPr>
      </w:pPr>
      <w:r w:rsidRPr="00F317EB">
        <w:rPr>
          <w:b/>
          <w:sz w:val="22"/>
          <w:szCs w:val="22"/>
        </w:rPr>
        <w:lastRenderedPageBreak/>
        <w:t>Hypothesis 8</w:t>
      </w:r>
      <w:r w:rsidR="0085776F" w:rsidRPr="00F317EB">
        <w:rPr>
          <w:b/>
          <w:sz w:val="22"/>
          <w:szCs w:val="22"/>
        </w:rPr>
        <w:t>:</w:t>
      </w:r>
      <w:r w:rsidR="00F22990" w:rsidRPr="00F317EB">
        <w:rPr>
          <w:sz w:val="22"/>
          <w:szCs w:val="22"/>
          <w:vertAlign w:val="subscript"/>
        </w:rPr>
        <w:tab/>
      </w:r>
      <w:r w:rsidR="00F22990" w:rsidRPr="00F317EB">
        <w:rPr>
          <w:sz w:val="22"/>
          <w:szCs w:val="22"/>
        </w:rPr>
        <w:t>Size positively affects board size in Indonesian manufacturing companies</w:t>
      </w:r>
    </w:p>
    <w:p w:rsidR="00F22990" w:rsidRPr="00F22990" w:rsidRDefault="00F22990" w:rsidP="00F22990">
      <w:pPr>
        <w:contextualSpacing/>
        <w:jc w:val="both"/>
        <w:rPr>
          <w:sz w:val="22"/>
          <w:szCs w:val="22"/>
        </w:rPr>
      </w:pPr>
    </w:p>
    <w:p w:rsidR="00F22990" w:rsidRPr="00F22990" w:rsidRDefault="00F22990" w:rsidP="00F22990">
      <w:pPr>
        <w:contextualSpacing/>
        <w:jc w:val="both"/>
        <w:rPr>
          <w:b/>
          <w:sz w:val="22"/>
          <w:szCs w:val="22"/>
        </w:rPr>
      </w:pPr>
      <w:r w:rsidRPr="00F22990">
        <w:rPr>
          <w:b/>
          <w:sz w:val="22"/>
          <w:szCs w:val="22"/>
        </w:rPr>
        <w:t>The Effect of Company Size on Profitability, Leverage, and PROPER</w:t>
      </w:r>
    </w:p>
    <w:p w:rsidR="00F22990" w:rsidRPr="00F22990" w:rsidRDefault="00F22990" w:rsidP="00F22990">
      <w:pPr>
        <w:contextualSpacing/>
        <w:jc w:val="both"/>
        <w:rPr>
          <w:sz w:val="22"/>
          <w:szCs w:val="22"/>
        </w:rPr>
      </w:pPr>
    </w:p>
    <w:p w:rsidR="00F22990" w:rsidRPr="00F317EB" w:rsidRDefault="00F22990" w:rsidP="0085776F">
      <w:pPr>
        <w:ind w:firstLine="284"/>
        <w:contextualSpacing/>
        <w:jc w:val="both"/>
        <w:rPr>
          <w:sz w:val="22"/>
          <w:szCs w:val="22"/>
        </w:rPr>
      </w:pPr>
      <w:r w:rsidRPr="00F317EB">
        <w:rPr>
          <w:sz w:val="22"/>
          <w:szCs w:val="22"/>
        </w:rPr>
        <w:t xml:space="preserve">There are two findings about the effect of company size on profitability. First, size does not affect profitability in mining companies </w:t>
      </w:r>
      <w:r w:rsidRPr="00F317EB">
        <w:rPr>
          <w:noProof/>
          <w:sz w:val="22"/>
          <w:szCs w:val="22"/>
        </w:rPr>
        <w:t xml:space="preserve">(Yanto </w:t>
      </w:r>
      <w:r w:rsidR="0085776F" w:rsidRPr="00F317EB">
        <w:rPr>
          <w:noProof/>
          <w:sz w:val="22"/>
          <w:szCs w:val="22"/>
        </w:rPr>
        <w:t>and</w:t>
      </w:r>
      <w:r w:rsidRPr="00F317EB">
        <w:rPr>
          <w:noProof/>
          <w:sz w:val="22"/>
          <w:szCs w:val="22"/>
        </w:rPr>
        <w:t xml:space="preserve"> Muzzammil, 2016)</w:t>
      </w:r>
      <w:r w:rsidRPr="00F317EB">
        <w:rPr>
          <w:sz w:val="22"/>
          <w:szCs w:val="22"/>
        </w:rPr>
        <w:t xml:space="preserve">. </w:t>
      </w:r>
      <w:r w:rsidR="00051BC0" w:rsidRPr="00F317EB">
        <w:rPr>
          <w:sz w:val="22"/>
          <w:szCs w:val="22"/>
        </w:rPr>
        <w:t>Second</w:t>
      </w:r>
      <w:r w:rsidRPr="00F317EB">
        <w:rPr>
          <w:sz w:val="22"/>
          <w:szCs w:val="22"/>
        </w:rPr>
        <w:t xml:space="preserve">, company size significantly impacts on profitability measured by </w:t>
      </w:r>
      <w:proofErr w:type="spellStart"/>
      <w:r w:rsidRPr="00F317EB">
        <w:rPr>
          <w:sz w:val="22"/>
          <w:szCs w:val="22"/>
        </w:rPr>
        <w:t>ROA</w:t>
      </w:r>
      <w:proofErr w:type="spellEnd"/>
      <w:r w:rsidRPr="00F317EB">
        <w:rPr>
          <w:sz w:val="22"/>
          <w:szCs w:val="22"/>
        </w:rPr>
        <w:t xml:space="preserve"> </w:t>
      </w:r>
      <w:r w:rsidRPr="00F317EB">
        <w:rPr>
          <w:noProof/>
          <w:sz w:val="22"/>
          <w:szCs w:val="22"/>
        </w:rPr>
        <w:t>(</w:t>
      </w:r>
      <w:proofErr w:type="spellStart"/>
      <w:r w:rsidR="005B4591" w:rsidRPr="005B4591">
        <w:rPr>
          <w:lang w:eastAsia="en-AU"/>
        </w:rPr>
        <w:t>Doğan</w:t>
      </w:r>
      <w:proofErr w:type="spellEnd"/>
      <w:r w:rsidR="005B4591" w:rsidRPr="005B4591">
        <w:rPr>
          <w:noProof/>
        </w:rPr>
        <w:t>,</w:t>
      </w:r>
      <w:r w:rsidR="005B4591">
        <w:rPr>
          <w:noProof/>
          <w:sz w:val="22"/>
          <w:szCs w:val="22"/>
        </w:rPr>
        <w:t xml:space="preserve"> 2013</w:t>
      </w:r>
      <w:r w:rsidRPr="00F317EB">
        <w:rPr>
          <w:noProof/>
          <w:sz w:val="22"/>
          <w:szCs w:val="22"/>
        </w:rPr>
        <w:t>)</w:t>
      </w:r>
      <w:r w:rsidRPr="00F317EB">
        <w:rPr>
          <w:sz w:val="22"/>
          <w:szCs w:val="22"/>
        </w:rPr>
        <w:t xml:space="preserve">. By analyzing 24,852 companies, a study conducted by </w:t>
      </w:r>
      <w:r w:rsidRPr="00F317EB">
        <w:rPr>
          <w:noProof/>
          <w:sz w:val="22"/>
          <w:szCs w:val="22"/>
        </w:rPr>
        <w:t xml:space="preserve">Dang and Li (2014) finds </w:t>
      </w:r>
      <w:r w:rsidRPr="00F317EB">
        <w:rPr>
          <w:sz w:val="22"/>
          <w:szCs w:val="22"/>
        </w:rPr>
        <w:t xml:space="preserve">that company size has a significant effect on profitability measured by </w:t>
      </w:r>
      <w:proofErr w:type="spellStart"/>
      <w:r w:rsidRPr="00F317EB">
        <w:rPr>
          <w:sz w:val="22"/>
          <w:szCs w:val="22"/>
        </w:rPr>
        <w:t>ROA</w:t>
      </w:r>
      <w:proofErr w:type="spellEnd"/>
      <w:r w:rsidRPr="00F317EB">
        <w:rPr>
          <w:sz w:val="22"/>
          <w:szCs w:val="22"/>
        </w:rPr>
        <w:t xml:space="preserve">. Moreover, a bigger company is likely to have higher economy of scale, so it can </w:t>
      </w:r>
      <w:r w:rsidR="00330B2F" w:rsidRPr="00F317EB">
        <w:rPr>
          <w:sz w:val="22"/>
          <w:szCs w:val="22"/>
        </w:rPr>
        <w:t>reduce</w:t>
      </w:r>
      <w:r w:rsidRPr="00F317EB">
        <w:rPr>
          <w:sz w:val="22"/>
          <w:szCs w:val="22"/>
        </w:rPr>
        <w:t xml:space="preserve"> fixed cost per unit which lead to reduced cost of goods sold. By considering economy of scale and previous research findings, this study posits the following hypothesis:</w:t>
      </w:r>
    </w:p>
    <w:p w:rsidR="00F22990" w:rsidRPr="00F22990" w:rsidRDefault="00F22990" w:rsidP="00F22990">
      <w:pPr>
        <w:contextualSpacing/>
        <w:jc w:val="both"/>
        <w:rPr>
          <w:b/>
          <w:sz w:val="22"/>
          <w:szCs w:val="22"/>
        </w:rPr>
      </w:pPr>
    </w:p>
    <w:p w:rsidR="00F22990" w:rsidRPr="00F317EB" w:rsidRDefault="0085776F" w:rsidP="00F22990">
      <w:pPr>
        <w:contextualSpacing/>
        <w:jc w:val="both"/>
        <w:rPr>
          <w:sz w:val="22"/>
          <w:szCs w:val="22"/>
        </w:rPr>
      </w:pPr>
      <w:r w:rsidRPr="00F317EB">
        <w:rPr>
          <w:b/>
          <w:sz w:val="22"/>
          <w:szCs w:val="22"/>
        </w:rPr>
        <w:t>H</w:t>
      </w:r>
      <w:r w:rsidR="00F317EB" w:rsidRPr="00F317EB">
        <w:rPr>
          <w:b/>
          <w:sz w:val="22"/>
          <w:szCs w:val="22"/>
        </w:rPr>
        <w:t>ypothesis 9</w:t>
      </w:r>
      <w:r w:rsidRPr="00F317EB">
        <w:rPr>
          <w:b/>
          <w:sz w:val="22"/>
          <w:szCs w:val="22"/>
        </w:rPr>
        <w:t>:</w:t>
      </w:r>
      <w:r w:rsidR="00F22990" w:rsidRPr="00F317EB">
        <w:rPr>
          <w:sz w:val="22"/>
          <w:szCs w:val="22"/>
        </w:rPr>
        <w:tab/>
        <w:t>Larger companies tend to obtain higher profitability</w:t>
      </w:r>
    </w:p>
    <w:p w:rsidR="00F22990" w:rsidRPr="00F22990" w:rsidRDefault="00F22990" w:rsidP="00F22990">
      <w:pPr>
        <w:contextualSpacing/>
        <w:jc w:val="both"/>
        <w:rPr>
          <w:sz w:val="22"/>
          <w:szCs w:val="22"/>
        </w:rPr>
      </w:pPr>
    </w:p>
    <w:p w:rsidR="00F22990" w:rsidRPr="00F317EB" w:rsidRDefault="00F22990" w:rsidP="00AF21B4">
      <w:pPr>
        <w:ind w:firstLine="284"/>
        <w:contextualSpacing/>
        <w:jc w:val="both"/>
        <w:rPr>
          <w:noProof/>
          <w:sz w:val="22"/>
          <w:szCs w:val="22"/>
        </w:rPr>
      </w:pPr>
      <w:r w:rsidRPr="00F317EB">
        <w:rPr>
          <w:sz w:val="22"/>
          <w:szCs w:val="22"/>
        </w:rPr>
        <w:t xml:space="preserve">There are considerable number of studies on the relationship between company size and leverage that come up with the same findings. By using correlation analysis, </w:t>
      </w:r>
      <w:r w:rsidRPr="00F317EB">
        <w:rPr>
          <w:noProof/>
          <w:sz w:val="22"/>
          <w:szCs w:val="22"/>
        </w:rPr>
        <w:t xml:space="preserve">Bae Choi et al. (2013) reveal that there is </w:t>
      </w:r>
      <w:r w:rsidRPr="00F317EB">
        <w:rPr>
          <w:sz w:val="22"/>
          <w:szCs w:val="22"/>
        </w:rPr>
        <w:t xml:space="preserve">a positive relationship between company size and leverage. </w:t>
      </w:r>
      <w:r w:rsidRPr="00F317EB">
        <w:rPr>
          <w:noProof/>
          <w:sz w:val="22"/>
          <w:szCs w:val="22"/>
        </w:rPr>
        <w:t>Dang and Li (2014)</w:t>
      </w:r>
      <w:r w:rsidRPr="00F317EB">
        <w:rPr>
          <w:sz w:val="22"/>
          <w:szCs w:val="22"/>
        </w:rPr>
        <w:t xml:space="preserve"> also detects positive effects of company size </w:t>
      </w:r>
      <w:r w:rsidRPr="00CB5FD4">
        <w:rPr>
          <w:sz w:val="22"/>
          <w:szCs w:val="22"/>
        </w:rPr>
        <w:t xml:space="preserve">on leverage. In other words, bigger company tends to have higher leverage. In their study, </w:t>
      </w:r>
      <w:proofErr w:type="spellStart"/>
      <w:r w:rsidR="00261729" w:rsidRPr="00CB5FD4">
        <w:rPr>
          <w:sz w:val="22"/>
          <w:szCs w:val="22"/>
        </w:rPr>
        <w:t>Marete</w:t>
      </w:r>
      <w:proofErr w:type="spellEnd"/>
      <w:r w:rsidRPr="00CB5FD4">
        <w:rPr>
          <w:noProof/>
          <w:sz w:val="22"/>
          <w:szCs w:val="22"/>
        </w:rPr>
        <w:t xml:space="preserve"> (201</w:t>
      </w:r>
      <w:r w:rsidR="00261729" w:rsidRPr="00CB5FD4">
        <w:rPr>
          <w:noProof/>
          <w:sz w:val="22"/>
          <w:szCs w:val="22"/>
        </w:rPr>
        <w:t>1</w:t>
      </w:r>
      <w:r w:rsidRPr="00CB5FD4">
        <w:rPr>
          <w:noProof/>
          <w:sz w:val="22"/>
          <w:szCs w:val="22"/>
        </w:rPr>
        <w:t>)</w:t>
      </w:r>
      <w:r w:rsidRPr="00CB5FD4">
        <w:rPr>
          <w:sz w:val="22"/>
          <w:szCs w:val="22"/>
        </w:rPr>
        <w:t xml:space="preserve"> confirm this finding with the same result. These findings are plausible as bigger companies at least have three advantages to obtain cash from liability. </w:t>
      </w:r>
      <w:r w:rsidR="00051BC0" w:rsidRPr="00CB5FD4">
        <w:rPr>
          <w:sz w:val="22"/>
          <w:szCs w:val="22"/>
        </w:rPr>
        <w:t>First</w:t>
      </w:r>
      <w:r w:rsidRPr="00CB5FD4">
        <w:rPr>
          <w:sz w:val="22"/>
          <w:szCs w:val="22"/>
        </w:rPr>
        <w:t xml:space="preserve">, bigger companies are likely to have better cash flow than smaller </w:t>
      </w:r>
      <w:r w:rsidRPr="00F317EB">
        <w:rPr>
          <w:sz w:val="22"/>
          <w:szCs w:val="22"/>
        </w:rPr>
        <w:t xml:space="preserve">ones which enables them to gain cash whenever they are experiencing financial distress </w:t>
      </w:r>
      <w:r w:rsidRPr="00F317EB">
        <w:rPr>
          <w:noProof/>
          <w:sz w:val="22"/>
          <w:szCs w:val="22"/>
        </w:rPr>
        <w:t xml:space="preserve">(Shuetrim, Lowe, </w:t>
      </w:r>
      <w:r w:rsidR="00344650" w:rsidRPr="00F317EB">
        <w:rPr>
          <w:noProof/>
          <w:sz w:val="22"/>
          <w:szCs w:val="22"/>
        </w:rPr>
        <w:t>and</w:t>
      </w:r>
      <w:r w:rsidRPr="00F317EB">
        <w:rPr>
          <w:noProof/>
          <w:sz w:val="22"/>
          <w:szCs w:val="22"/>
        </w:rPr>
        <w:t xml:space="preserve"> Morling, 1993)</w:t>
      </w:r>
      <w:r w:rsidRPr="00F317EB">
        <w:rPr>
          <w:sz w:val="22"/>
          <w:szCs w:val="22"/>
        </w:rPr>
        <w:t xml:space="preserve">. </w:t>
      </w:r>
      <w:r w:rsidR="00051BC0" w:rsidRPr="00F317EB">
        <w:rPr>
          <w:sz w:val="22"/>
          <w:szCs w:val="22"/>
        </w:rPr>
        <w:t>Second</w:t>
      </w:r>
      <w:r w:rsidRPr="00F317EB">
        <w:rPr>
          <w:sz w:val="22"/>
          <w:szCs w:val="22"/>
        </w:rPr>
        <w:t xml:space="preserve">, bigger companies tend to have lower information asymmetry enabling them to obtain additional liability </w:t>
      </w:r>
      <w:r w:rsidRPr="00F317EB">
        <w:rPr>
          <w:noProof/>
          <w:sz w:val="22"/>
          <w:szCs w:val="22"/>
        </w:rPr>
        <w:t>(Brierley, 2005)</w:t>
      </w:r>
      <w:r w:rsidRPr="00F317EB">
        <w:rPr>
          <w:sz w:val="22"/>
          <w:szCs w:val="22"/>
        </w:rPr>
        <w:t xml:space="preserve">. </w:t>
      </w:r>
      <w:r w:rsidR="00051BC0" w:rsidRPr="00F317EB">
        <w:rPr>
          <w:sz w:val="22"/>
          <w:szCs w:val="22"/>
        </w:rPr>
        <w:t>Third</w:t>
      </w:r>
      <w:r w:rsidRPr="00F317EB">
        <w:rPr>
          <w:i/>
          <w:sz w:val="22"/>
          <w:szCs w:val="22"/>
        </w:rPr>
        <w:t xml:space="preserve">, </w:t>
      </w:r>
      <w:r w:rsidRPr="00F317EB">
        <w:rPr>
          <w:sz w:val="22"/>
          <w:szCs w:val="22"/>
        </w:rPr>
        <w:t xml:space="preserve">they have bigger chances to gain trust from investors willing to invest money in their companies </w:t>
      </w:r>
      <w:r w:rsidRPr="00F317EB">
        <w:rPr>
          <w:noProof/>
          <w:sz w:val="22"/>
          <w:szCs w:val="22"/>
        </w:rPr>
        <w:t>(Ezeoha, 2008)</w:t>
      </w:r>
      <w:r w:rsidRPr="00F317EB">
        <w:rPr>
          <w:sz w:val="22"/>
          <w:szCs w:val="22"/>
        </w:rPr>
        <w:t xml:space="preserve">. Consequently, this study offers this following hypothesis: </w:t>
      </w:r>
    </w:p>
    <w:p w:rsidR="00F22990" w:rsidRPr="00F317EB" w:rsidRDefault="00F22990" w:rsidP="00F22990">
      <w:pPr>
        <w:contextualSpacing/>
        <w:jc w:val="both"/>
        <w:rPr>
          <w:b/>
          <w:sz w:val="22"/>
          <w:szCs w:val="22"/>
        </w:rPr>
      </w:pPr>
    </w:p>
    <w:p w:rsidR="00F22990" w:rsidRPr="00F317EB" w:rsidRDefault="0085776F" w:rsidP="00F22990">
      <w:pPr>
        <w:contextualSpacing/>
        <w:jc w:val="both"/>
        <w:rPr>
          <w:sz w:val="22"/>
          <w:szCs w:val="22"/>
        </w:rPr>
      </w:pPr>
      <w:r w:rsidRPr="00F317EB">
        <w:rPr>
          <w:b/>
          <w:sz w:val="22"/>
          <w:szCs w:val="22"/>
        </w:rPr>
        <w:t>H</w:t>
      </w:r>
      <w:r w:rsidR="00F317EB" w:rsidRPr="00F317EB">
        <w:rPr>
          <w:b/>
          <w:sz w:val="22"/>
          <w:szCs w:val="22"/>
        </w:rPr>
        <w:t>ypothesis 10</w:t>
      </w:r>
      <w:r w:rsidRPr="00F317EB">
        <w:rPr>
          <w:b/>
          <w:sz w:val="22"/>
          <w:szCs w:val="22"/>
        </w:rPr>
        <w:t>:</w:t>
      </w:r>
      <w:r w:rsidR="00F22990" w:rsidRPr="00F317EB">
        <w:rPr>
          <w:sz w:val="22"/>
          <w:szCs w:val="22"/>
        </w:rPr>
        <w:tab/>
        <w:t>Larger companies tend to possess higher leverage</w:t>
      </w:r>
    </w:p>
    <w:p w:rsidR="00F22990" w:rsidRPr="00F317EB" w:rsidRDefault="00F22990" w:rsidP="00F22990">
      <w:pPr>
        <w:contextualSpacing/>
        <w:jc w:val="both"/>
        <w:rPr>
          <w:sz w:val="22"/>
          <w:szCs w:val="22"/>
        </w:rPr>
      </w:pPr>
      <w:r w:rsidRPr="00F317EB">
        <w:rPr>
          <w:sz w:val="22"/>
          <w:szCs w:val="22"/>
        </w:rPr>
        <w:t xml:space="preserve"> </w:t>
      </w:r>
    </w:p>
    <w:p w:rsidR="00F22990" w:rsidRPr="00F22990" w:rsidRDefault="00F22990" w:rsidP="0085776F">
      <w:pPr>
        <w:ind w:firstLine="284"/>
        <w:contextualSpacing/>
        <w:jc w:val="both"/>
        <w:rPr>
          <w:sz w:val="22"/>
          <w:szCs w:val="22"/>
        </w:rPr>
      </w:pPr>
      <w:r w:rsidRPr="00F22990">
        <w:rPr>
          <w:sz w:val="22"/>
          <w:szCs w:val="22"/>
        </w:rPr>
        <w:t xml:space="preserve">To gain a sound environmental performance, firms are required to own adequate structures and infrastructures. Studies on determinants of environmental performance seem to be limited in number.  </w:t>
      </w:r>
      <w:r w:rsidRPr="00F22990">
        <w:rPr>
          <w:noProof/>
          <w:sz w:val="22"/>
          <w:szCs w:val="22"/>
        </w:rPr>
        <w:t>Doonan et al. (2005)</w:t>
      </w:r>
      <w:r w:rsidRPr="00F22990">
        <w:rPr>
          <w:sz w:val="22"/>
          <w:szCs w:val="22"/>
        </w:rPr>
        <w:t xml:space="preserve"> contend that a firm shall provide proper human resources, funding, and environmental management for better environmental performance. It seems that bigger firms would have adequate sources to invest in structures and infrastructures of environmental management. Consequently, this study offers this following hypothesis: </w:t>
      </w:r>
    </w:p>
    <w:p w:rsidR="00F22990" w:rsidRPr="00F22990" w:rsidRDefault="00F22990" w:rsidP="00F22990">
      <w:pPr>
        <w:contextualSpacing/>
        <w:jc w:val="both"/>
        <w:rPr>
          <w:b/>
          <w:sz w:val="22"/>
          <w:szCs w:val="22"/>
        </w:rPr>
      </w:pPr>
    </w:p>
    <w:p w:rsidR="00F22990" w:rsidRPr="00F317EB" w:rsidRDefault="00F22990" w:rsidP="00F317EB">
      <w:pPr>
        <w:contextualSpacing/>
        <w:jc w:val="both"/>
        <w:rPr>
          <w:sz w:val="22"/>
          <w:szCs w:val="22"/>
        </w:rPr>
      </w:pPr>
      <w:r w:rsidRPr="00F317EB">
        <w:rPr>
          <w:b/>
          <w:sz w:val="22"/>
          <w:szCs w:val="22"/>
        </w:rPr>
        <w:t>H</w:t>
      </w:r>
      <w:r w:rsidR="00F317EB" w:rsidRPr="00F317EB">
        <w:rPr>
          <w:b/>
          <w:sz w:val="22"/>
          <w:szCs w:val="22"/>
        </w:rPr>
        <w:t>ypothesis 11</w:t>
      </w:r>
      <w:r w:rsidRPr="00F317EB">
        <w:rPr>
          <w:sz w:val="22"/>
          <w:szCs w:val="22"/>
        </w:rPr>
        <w:t>:</w:t>
      </w:r>
      <w:r w:rsidRPr="00F317EB">
        <w:rPr>
          <w:sz w:val="22"/>
          <w:szCs w:val="22"/>
        </w:rPr>
        <w:tab/>
        <w:t xml:space="preserve">Larger companies possess better environmental performance (PROPER rating). </w:t>
      </w:r>
    </w:p>
    <w:p w:rsidR="00F22990" w:rsidRPr="00F22990" w:rsidRDefault="00F22990" w:rsidP="00F22990">
      <w:pPr>
        <w:contextualSpacing/>
        <w:jc w:val="both"/>
        <w:rPr>
          <w:sz w:val="22"/>
          <w:szCs w:val="22"/>
        </w:rPr>
      </w:pPr>
    </w:p>
    <w:p w:rsidR="00F22990" w:rsidRPr="00F22990" w:rsidRDefault="00F22990" w:rsidP="00F22990">
      <w:pPr>
        <w:contextualSpacing/>
        <w:jc w:val="both"/>
        <w:rPr>
          <w:sz w:val="22"/>
          <w:szCs w:val="22"/>
        </w:rPr>
      </w:pPr>
      <w:r w:rsidRPr="00F22990">
        <w:rPr>
          <w:sz w:val="22"/>
          <w:szCs w:val="22"/>
        </w:rPr>
        <w:t>Based on previous literature review, the study proposes eleven hypotheses consisting of nine alternative hypotheses and two null hypotheses. Figure 1 is a model developed for this study depicting the summary of the hypotheses.</w:t>
      </w:r>
    </w:p>
    <w:p w:rsidR="00F22990" w:rsidRPr="00CE4DD1" w:rsidRDefault="00EF65BC" w:rsidP="00F22990">
      <w:pPr>
        <w:rPr>
          <w:b/>
          <w:sz w:val="20"/>
          <w:szCs w:val="20"/>
        </w:rPr>
      </w:pPr>
      <w:r w:rsidRPr="00CE4DD1">
        <w:rPr>
          <w:b/>
          <w:noProof/>
          <w:sz w:val="20"/>
          <w:szCs w:val="20"/>
        </w:rPr>
        <w:lastRenderedPageBreak/>
        <mc:AlternateContent>
          <mc:Choice Requires="wpg">
            <w:drawing>
              <wp:anchor distT="0" distB="0" distL="114300" distR="114300" simplePos="0" relativeHeight="251663360" behindDoc="0" locked="0" layoutInCell="1" allowOverlap="1" wp14:anchorId="0B501BE0">
                <wp:simplePos x="0" y="0"/>
                <wp:positionH relativeFrom="column">
                  <wp:posOffset>90805</wp:posOffset>
                </wp:positionH>
                <wp:positionV relativeFrom="paragraph">
                  <wp:posOffset>27305</wp:posOffset>
                </wp:positionV>
                <wp:extent cx="4563110" cy="2219325"/>
                <wp:effectExtent l="0" t="0" r="8890" b="95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219325"/>
                          <a:chOff x="2397" y="2620"/>
                          <a:chExt cx="7663" cy="3779"/>
                        </a:xfrm>
                      </wpg:grpSpPr>
                      <wps:wsp>
                        <wps:cNvPr id="43" name="Rectangle 14"/>
                        <wps:cNvSpPr>
                          <a:spLocks noChangeArrowheads="1"/>
                        </wps:cNvSpPr>
                        <wps:spPr bwMode="auto">
                          <a:xfrm>
                            <a:off x="4437" y="5903"/>
                            <a:ext cx="1223" cy="496"/>
                          </a:xfrm>
                          <a:prstGeom prst="rect">
                            <a:avLst/>
                          </a:prstGeom>
                          <a:solidFill>
                            <a:srgbClr val="FFFFFF"/>
                          </a:solidFill>
                          <a:ln w="9525">
                            <a:solidFill>
                              <a:srgbClr val="000000"/>
                            </a:solidFill>
                            <a:miter lim="800000"/>
                            <a:headEnd/>
                            <a:tailEnd/>
                          </a:ln>
                        </wps:spPr>
                        <wps:txbx>
                          <w:txbxContent>
                            <w:p w:rsidR="00F258EB" w:rsidRPr="00CE4DD1" w:rsidRDefault="00F258EB" w:rsidP="00F22990">
                              <w:pPr>
                                <w:jc w:val="center"/>
                                <w:rPr>
                                  <w:sz w:val="22"/>
                                  <w:szCs w:val="22"/>
                                </w:rPr>
                              </w:pPr>
                              <w:r w:rsidRPr="00CE4DD1">
                                <w:rPr>
                                  <w:sz w:val="22"/>
                                  <w:szCs w:val="22"/>
                                </w:rPr>
                                <w:t>ROA</w:t>
                              </w:r>
                            </w:p>
                          </w:txbxContent>
                        </wps:txbx>
                        <wps:bodyPr rot="0" vert="horz" wrap="square" lIns="91440" tIns="45720" rIns="91440" bIns="45720" anchor="t" anchorCtr="0" upright="1">
                          <a:noAutofit/>
                        </wps:bodyPr>
                      </wps:wsp>
                      <wps:wsp>
                        <wps:cNvPr id="44" name="Rectangle 15"/>
                        <wps:cNvSpPr>
                          <a:spLocks noChangeArrowheads="1"/>
                        </wps:cNvSpPr>
                        <wps:spPr bwMode="auto">
                          <a:xfrm>
                            <a:off x="3447" y="3262"/>
                            <a:ext cx="65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8</w:t>
                              </w:r>
                            </w:p>
                          </w:txbxContent>
                        </wps:txbx>
                        <wps:bodyPr rot="0" vert="horz" wrap="square" lIns="91440" tIns="45720" rIns="91440" bIns="45720" anchor="t" anchorCtr="0" upright="1">
                          <a:noAutofit/>
                        </wps:bodyPr>
                      </wps:wsp>
                      <wps:wsp>
                        <wps:cNvPr id="45" name="Rectangle 16"/>
                        <wps:cNvSpPr>
                          <a:spLocks noChangeArrowheads="1"/>
                        </wps:cNvSpPr>
                        <wps:spPr bwMode="auto">
                          <a:xfrm>
                            <a:off x="5668" y="3496"/>
                            <a:ext cx="65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2</w:t>
                              </w:r>
                            </w:p>
                          </w:txbxContent>
                        </wps:txbx>
                        <wps:bodyPr rot="0" vert="horz" wrap="square" lIns="91440" tIns="45720" rIns="91440" bIns="45720" anchor="t" anchorCtr="0" upright="1">
                          <a:noAutofit/>
                        </wps:bodyPr>
                      </wps:wsp>
                      <wps:wsp>
                        <wps:cNvPr id="46" name="AutoShape 17"/>
                        <wps:cNvCnPr>
                          <a:cxnSpLocks noChangeShapeType="1"/>
                        </wps:cNvCnPr>
                        <wps:spPr bwMode="auto">
                          <a:xfrm>
                            <a:off x="5660" y="2941"/>
                            <a:ext cx="783" cy="11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8"/>
                        <wps:cNvSpPr>
                          <a:spLocks noChangeArrowheads="1"/>
                        </wps:cNvSpPr>
                        <wps:spPr bwMode="auto">
                          <a:xfrm>
                            <a:off x="4437" y="3710"/>
                            <a:ext cx="893"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11</w:t>
                              </w:r>
                            </w:p>
                          </w:txbxContent>
                        </wps:txbx>
                        <wps:bodyPr rot="0" vert="horz" wrap="square" lIns="91440" tIns="45720" rIns="91440" bIns="45720" anchor="t" anchorCtr="0" upright="1">
                          <a:noAutofit/>
                        </wps:bodyPr>
                      </wps:wsp>
                      <wps:wsp>
                        <wps:cNvPr id="48" name="Rectangle 19"/>
                        <wps:cNvSpPr>
                          <a:spLocks noChangeArrowheads="1"/>
                        </wps:cNvSpPr>
                        <wps:spPr bwMode="auto">
                          <a:xfrm>
                            <a:off x="3856" y="4353"/>
                            <a:ext cx="902"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DC2203" w:rsidRDefault="00F258EB" w:rsidP="00F22990">
                              <w:pPr>
                                <w:rPr>
                                  <w:b/>
                                  <w:sz w:val="20"/>
                                  <w:szCs w:val="20"/>
                                </w:rPr>
                              </w:pPr>
                              <w:r w:rsidRPr="00DC2203">
                                <w:rPr>
                                  <w:b/>
                                  <w:sz w:val="20"/>
                                  <w:szCs w:val="20"/>
                                </w:rPr>
                                <w:t>H</w:t>
                              </w:r>
                              <w:r w:rsidRPr="00DC2203">
                                <w:rPr>
                                  <w:b/>
                                  <w:sz w:val="20"/>
                                  <w:szCs w:val="20"/>
                                  <w:vertAlign w:val="subscript"/>
                                </w:rPr>
                                <w:t>10</w:t>
                              </w:r>
                            </w:p>
                          </w:txbxContent>
                        </wps:txbx>
                        <wps:bodyPr rot="0" vert="horz" wrap="square" lIns="91440" tIns="45720" rIns="91440" bIns="45720" anchor="t" anchorCtr="0" upright="1">
                          <a:noAutofit/>
                        </wps:bodyPr>
                      </wps:wsp>
                      <wps:wsp>
                        <wps:cNvPr id="49" name="Rectangle 20"/>
                        <wps:cNvSpPr>
                          <a:spLocks noChangeArrowheads="1"/>
                        </wps:cNvSpPr>
                        <wps:spPr bwMode="auto">
                          <a:xfrm>
                            <a:off x="3551" y="5191"/>
                            <a:ext cx="65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822FFE" w:rsidRDefault="00F258EB" w:rsidP="00F22990">
                              <w:pPr>
                                <w:rPr>
                                  <w:b/>
                                  <w:sz w:val="22"/>
                                  <w:szCs w:val="22"/>
                                </w:rPr>
                              </w:pPr>
                              <w:r w:rsidRPr="00822FFE">
                                <w:rPr>
                                  <w:b/>
                                  <w:sz w:val="22"/>
                                  <w:szCs w:val="22"/>
                                </w:rPr>
                                <w:t>H</w:t>
                              </w:r>
                              <w:r w:rsidRPr="00822FFE">
                                <w:rPr>
                                  <w:b/>
                                  <w:sz w:val="22"/>
                                  <w:szCs w:val="22"/>
                                  <w:vertAlign w:val="subscript"/>
                                </w:rPr>
                                <w:t>9</w:t>
                              </w:r>
                            </w:p>
                          </w:txbxContent>
                        </wps:txbx>
                        <wps:bodyPr rot="0" vert="horz" wrap="square" lIns="91440" tIns="45720" rIns="91440" bIns="45720" anchor="t" anchorCtr="0" upright="1">
                          <a:noAutofit/>
                        </wps:bodyPr>
                      </wps:wsp>
                      <wps:wsp>
                        <wps:cNvPr id="50" name="Rectangle 21"/>
                        <wps:cNvSpPr>
                          <a:spLocks noChangeArrowheads="1"/>
                        </wps:cNvSpPr>
                        <wps:spPr bwMode="auto">
                          <a:xfrm>
                            <a:off x="5881" y="5256"/>
                            <a:ext cx="653"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822FFE" w:rsidRDefault="00F258EB" w:rsidP="00F22990">
                              <w:pPr>
                                <w:rPr>
                                  <w:b/>
                                  <w:sz w:val="22"/>
                                  <w:szCs w:val="22"/>
                                </w:rPr>
                              </w:pPr>
                              <w:r w:rsidRPr="00822FFE">
                                <w:rPr>
                                  <w:b/>
                                  <w:sz w:val="22"/>
                                  <w:szCs w:val="22"/>
                                </w:rPr>
                                <w:t>H</w:t>
                              </w:r>
                              <w:r w:rsidRPr="00822FFE">
                                <w:rPr>
                                  <w:b/>
                                  <w:sz w:val="22"/>
                                  <w:szCs w:val="22"/>
                                  <w:vertAlign w:val="subscript"/>
                                </w:rPr>
                                <w:t>4</w:t>
                              </w:r>
                            </w:p>
                          </w:txbxContent>
                        </wps:txbx>
                        <wps:bodyPr rot="0" vert="horz" wrap="square" lIns="91440" tIns="45720" rIns="91440" bIns="45720" anchor="t" anchorCtr="0" upright="1">
                          <a:noAutofit/>
                        </wps:bodyPr>
                      </wps:wsp>
                      <wps:wsp>
                        <wps:cNvPr id="51" name="Rectangle 22"/>
                        <wps:cNvSpPr>
                          <a:spLocks noChangeArrowheads="1"/>
                        </wps:cNvSpPr>
                        <wps:spPr bwMode="auto">
                          <a:xfrm>
                            <a:off x="6847" y="4700"/>
                            <a:ext cx="65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6</w:t>
                              </w:r>
                            </w:p>
                          </w:txbxContent>
                        </wps:txbx>
                        <wps:bodyPr rot="0" vert="horz" wrap="square" lIns="91440" tIns="45720" rIns="91440" bIns="45720" anchor="t" anchorCtr="0" upright="1">
                          <a:noAutofit/>
                        </wps:bodyPr>
                      </wps:wsp>
                      <wps:wsp>
                        <wps:cNvPr id="52" name="Rectangle 23"/>
                        <wps:cNvSpPr>
                          <a:spLocks noChangeArrowheads="1"/>
                        </wps:cNvSpPr>
                        <wps:spPr bwMode="auto">
                          <a:xfrm>
                            <a:off x="7143" y="5223"/>
                            <a:ext cx="653"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5</w:t>
                              </w:r>
                            </w:p>
                          </w:txbxContent>
                        </wps:txbx>
                        <wps:bodyPr rot="0" vert="horz" wrap="square" lIns="91440" tIns="45720" rIns="91440" bIns="45720" anchor="t" anchorCtr="0" upright="1">
                          <a:noAutofit/>
                        </wps:bodyPr>
                      </wps:wsp>
                      <wps:wsp>
                        <wps:cNvPr id="53" name="Rectangle 24"/>
                        <wps:cNvSpPr>
                          <a:spLocks noChangeArrowheads="1"/>
                        </wps:cNvSpPr>
                        <wps:spPr bwMode="auto">
                          <a:xfrm>
                            <a:off x="7908" y="3716"/>
                            <a:ext cx="65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1</w:t>
                              </w:r>
                            </w:p>
                          </w:txbxContent>
                        </wps:txbx>
                        <wps:bodyPr rot="0" vert="horz" wrap="square" lIns="91440" tIns="45720" rIns="91440" bIns="45720" anchor="t" anchorCtr="0" upright="1">
                          <a:noAutofit/>
                        </wps:bodyPr>
                      </wps:wsp>
                      <wps:wsp>
                        <wps:cNvPr id="54" name="Rectangle 25"/>
                        <wps:cNvSpPr>
                          <a:spLocks noChangeArrowheads="1"/>
                        </wps:cNvSpPr>
                        <wps:spPr bwMode="auto">
                          <a:xfrm>
                            <a:off x="6673" y="2999"/>
                            <a:ext cx="65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3</w:t>
                              </w:r>
                            </w:p>
                          </w:txbxContent>
                        </wps:txbx>
                        <wps:bodyPr rot="0" vert="horz" wrap="square" lIns="91440" tIns="45720" rIns="91440" bIns="45720" anchor="t" anchorCtr="0" upright="1">
                          <a:noAutofit/>
                        </wps:bodyPr>
                      </wps:wsp>
                      <wps:wsp>
                        <wps:cNvPr id="55" name="Rectangle 26"/>
                        <wps:cNvSpPr>
                          <a:spLocks noChangeArrowheads="1"/>
                        </wps:cNvSpPr>
                        <wps:spPr bwMode="auto">
                          <a:xfrm>
                            <a:off x="5551" y="4350"/>
                            <a:ext cx="605"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Default="00F258EB" w:rsidP="00F22990">
                              <w:r>
                                <w:t xml:space="preserve">  H7</w:t>
                              </w:r>
                            </w:p>
                          </w:txbxContent>
                        </wps:txbx>
                        <wps:bodyPr rot="0" vert="horz" wrap="square" lIns="91440" tIns="45720" rIns="91440" bIns="45720" anchor="t" anchorCtr="0" upright="1">
                          <a:noAutofit/>
                        </wps:bodyPr>
                      </wps:wsp>
                      <wps:wsp>
                        <wps:cNvPr id="56" name="Rectangle 27"/>
                        <wps:cNvSpPr>
                          <a:spLocks noChangeArrowheads="1"/>
                        </wps:cNvSpPr>
                        <wps:spPr bwMode="auto">
                          <a:xfrm>
                            <a:off x="2397" y="3820"/>
                            <a:ext cx="1008" cy="506"/>
                          </a:xfrm>
                          <a:prstGeom prst="rect">
                            <a:avLst/>
                          </a:prstGeom>
                          <a:solidFill>
                            <a:srgbClr val="FFFFFF"/>
                          </a:solidFill>
                          <a:ln w="9525">
                            <a:solidFill>
                              <a:srgbClr val="000000"/>
                            </a:solidFill>
                            <a:miter lim="800000"/>
                            <a:headEnd/>
                            <a:tailEnd/>
                          </a:ln>
                        </wps:spPr>
                        <wps:txbx>
                          <w:txbxContent>
                            <w:p w:rsidR="00F258EB" w:rsidRPr="00CE4DD1" w:rsidRDefault="00F258EB" w:rsidP="00F22990">
                              <w:pPr>
                                <w:jc w:val="center"/>
                                <w:rPr>
                                  <w:sz w:val="22"/>
                                  <w:szCs w:val="22"/>
                                </w:rPr>
                              </w:pPr>
                              <w:r w:rsidRPr="00CE4DD1">
                                <w:rPr>
                                  <w:sz w:val="22"/>
                                  <w:szCs w:val="22"/>
                                </w:rPr>
                                <w:t>SIZE</w:t>
                              </w:r>
                            </w:p>
                          </w:txbxContent>
                        </wps:txbx>
                        <wps:bodyPr rot="0" vert="horz" wrap="square" lIns="91440" tIns="45720" rIns="91440" bIns="45720" anchor="t" anchorCtr="0" upright="1">
                          <a:noAutofit/>
                        </wps:bodyPr>
                      </wps:wsp>
                      <wps:wsp>
                        <wps:cNvPr id="57" name="Rectangle 28"/>
                        <wps:cNvSpPr>
                          <a:spLocks noChangeArrowheads="1"/>
                        </wps:cNvSpPr>
                        <wps:spPr bwMode="auto">
                          <a:xfrm>
                            <a:off x="4398" y="2620"/>
                            <a:ext cx="1262" cy="642"/>
                          </a:xfrm>
                          <a:prstGeom prst="rect">
                            <a:avLst/>
                          </a:prstGeom>
                          <a:solidFill>
                            <a:srgbClr val="FFFFFF"/>
                          </a:solidFill>
                          <a:ln w="9525">
                            <a:solidFill>
                              <a:srgbClr val="000000"/>
                            </a:solidFill>
                            <a:miter lim="800000"/>
                            <a:headEnd/>
                            <a:tailEnd/>
                          </a:ln>
                        </wps:spPr>
                        <wps:txbx>
                          <w:txbxContent>
                            <w:p w:rsidR="00F258EB" w:rsidRPr="00CE4DD1" w:rsidRDefault="00F258EB" w:rsidP="00F22990">
                              <w:pPr>
                                <w:jc w:val="center"/>
                                <w:rPr>
                                  <w:sz w:val="22"/>
                                  <w:szCs w:val="22"/>
                                </w:rPr>
                              </w:pPr>
                              <w:r w:rsidRPr="00CE4DD1">
                                <w:rPr>
                                  <w:sz w:val="22"/>
                                  <w:szCs w:val="22"/>
                                </w:rPr>
                                <w:t>BOARD SIZE</w:t>
                              </w:r>
                            </w:p>
                          </w:txbxContent>
                        </wps:txbx>
                        <wps:bodyPr rot="0" vert="horz" wrap="square" lIns="91440" tIns="45720" rIns="91440" bIns="45720" anchor="t" anchorCtr="0" upright="1">
                          <a:noAutofit/>
                        </wps:bodyPr>
                      </wps:wsp>
                      <wps:wsp>
                        <wps:cNvPr id="58" name="Rectangle 29"/>
                        <wps:cNvSpPr>
                          <a:spLocks noChangeArrowheads="1"/>
                        </wps:cNvSpPr>
                        <wps:spPr bwMode="auto">
                          <a:xfrm>
                            <a:off x="4398" y="4899"/>
                            <a:ext cx="1262" cy="506"/>
                          </a:xfrm>
                          <a:prstGeom prst="rect">
                            <a:avLst/>
                          </a:prstGeom>
                          <a:solidFill>
                            <a:srgbClr val="FFFFFF"/>
                          </a:solidFill>
                          <a:ln w="9525">
                            <a:solidFill>
                              <a:srgbClr val="000000"/>
                            </a:solidFill>
                            <a:miter lim="800000"/>
                            <a:headEnd/>
                            <a:tailEnd/>
                          </a:ln>
                        </wps:spPr>
                        <wps:txbx>
                          <w:txbxContent>
                            <w:p w:rsidR="00F258EB" w:rsidRPr="00CE4DD1" w:rsidRDefault="00F258EB" w:rsidP="00F22990">
                              <w:pPr>
                                <w:jc w:val="center"/>
                                <w:rPr>
                                  <w:sz w:val="22"/>
                                  <w:szCs w:val="22"/>
                                </w:rPr>
                              </w:pPr>
                              <w:r w:rsidRPr="00CE4DD1">
                                <w:rPr>
                                  <w:sz w:val="22"/>
                                  <w:szCs w:val="22"/>
                                </w:rPr>
                                <w:t>DAR</w:t>
                              </w:r>
                            </w:p>
                          </w:txbxContent>
                        </wps:txbx>
                        <wps:bodyPr rot="0" vert="horz" wrap="square" lIns="91440" tIns="45720" rIns="91440" bIns="45720" anchor="t" anchorCtr="0" upright="1">
                          <a:noAutofit/>
                        </wps:bodyPr>
                      </wps:wsp>
                      <wps:wsp>
                        <wps:cNvPr id="59" name="Rectangle 30"/>
                        <wps:cNvSpPr>
                          <a:spLocks noChangeArrowheads="1"/>
                        </wps:cNvSpPr>
                        <wps:spPr bwMode="auto">
                          <a:xfrm>
                            <a:off x="6443" y="3859"/>
                            <a:ext cx="1262" cy="494"/>
                          </a:xfrm>
                          <a:prstGeom prst="rect">
                            <a:avLst/>
                          </a:prstGeom>
                          <a:solidFill>
                            <a:srgbClr val="FFFFFF"/>
                          </a:solidFill>
                          <a:ln w="9525">
                            <a:solidFill>
                              <a:srgbClr val="000000"/>
                            </a:solidFill>
                            <a:miter lim="800000"/>
                            <a:headEnd/>
                            <a:tailEnd/>
                          </a:ln>
                        </wps:spPr>
                        <wps:txbx>
                          <w:txbxContent>
                            <w:p w:rsidR="00F258EB" w:rsidRPr="00CE4DD1" w:rsidRDefault="00F258EB" w:rsidP="00F22990">
                              <w:pPr>
                                <w:jc w:val="center"/>
                                <w:rPr>
                                  <w:sz w:val="22"/>
                                  <w:szCs w:val="22"/>
                                </w:rPr>
                              </w:pPr>
                              <w:r w:rsidRPr="00CE4DD1">
                                <w:rPr>
                                  <w:sz w:val="22"/>
                                  <w:szCs w:val="22"/>
                                </w:rPr>
                                <w:t>PROPER</w:t>
                              </w:r>
                            </w:p>
                          </w:txbxContent>
                        </wps:txbx>
                        <wps:bodyPr rot="0" vert="horz" wrap="square" lIns="91440" tIns="45720" rIns="91440" bIns="45720" anchor="t" anchorCtr="0" upright="1">
                          <a:noAutofit/>
                        </wps:bodyPr>
                      </wps:wsp>
                      <wps:wsp>
                        <wps:cNvPr id="60" name="Rectangle 31"/>
                        <wps:cNvSpPr>
                          <a:spLocks noChangeArrowheads="1"/>
                        </wps:cNvSpPr>
                        <wps:spPr bwMode="auto">
                          <a:xfrm>
                            <a:off x="9148" y="3873"/>
                            <a:ext cx="912" cy="571"/>
                          </a:xfrm>
                          <a:prstGeom prst="rect">
                            <a:avLst/>
                          </a:prstGeom>
                          <a:solidFill>
                            <a:srgbClr val="FFFFFF"/>
                          </a:solidFill>
                          <a:ln w="9525">
                            <a:solidFill>
                              <a:srgbClr val="000000"/>
                            </a:solidFill>
                            <a:miter lim="800000"/>
                            <a:headEnd/>
                            <a:tailEnd/>
                          </a:ln>
                        </wps:spPr>
                        <wps:txbx>
                          <w:txbxContent>
                            <w:p w:rsidR="00F258EB" w:rsidRPr="00CE4DD1" w:rsidRDefault="00F258EB" w:rsidP="00F22990">
                              <w:pPr>
                                <w:jc w:val="center"/>
                                <w:rPr>
                                  <w:sz w:val="22"/>
                                  <w:szCs w:val="22"/>
                                </w:rPr>
                              </w:pPr>
                              <w:r w:rsidRPr="00CE4DD1">
                                <w:rPr>
                                  <w:sz w:val="22"/>
                                  <w:szCs w:val="22"/>
                                </w:rPr>
                                <w:t>CED</w:t>
                              </w:r>
                            </w:p>
                          </w:txbxContent>
                        </wps:txbx>
                        <wps:bodyPr rot="0" vert="horz" wrap="square" lIns="91440" tIns="45720" rIns="91440" bIns="45720" anchor="t" anchorCtr="0" upright="1">
                          <a:noAutofit/>
                        </wps:bodyPr>
                      </wps:wsp>
                      <wps:wsp>
                        <wps:cNvPr id="61" name="AutoShape 32"/>
                        <wps:cNvCnPr>
                          <a:cxnSpLocks noChangeShapeType="1"/>
                        </wps:cNvCnPr>
                        <wps:spPr bwMode="auto">
                          <a:xfrm flipV="1">
                            <a:off x="3447" y="2941"/>
                            <a:ext cx="951" cy="1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3"/>
                        <wps:cNvCnPr>
                          <a:cxnSpLocks noChangeShapeType="1"/>
                        </wps:cNvCnPr>
                        <wps:spPr bwMode="auto">
                          <a:xfrm>
                            <a:off x="3405" y="4063"/>
                            <a:ext cx="993" cy="1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34"/>
                        <wps:cNvCnPr>
                          <a:cxnSpLocks noChangeShapeType="1"/>
                        </wps:cNvCnPr>
                        <wps:spPr bwMode="auto">
                          <a:xfrm>
                            <a:off x="3405" y="4084"/>
                            <a:ext cx="1032" cy="21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35"/>
                        <wps:cNvCnPr>
                          <a:cxnSpLocks noChangeShapeType="1"/>
                        </wps:cNvCnPr>
                        <wps:spPr bwMode="auto">
                          <a:xfrm>
                            <a:off x="3405" y="4062"/>
                            <a:ext cx="30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36"/>
                        <wps:cNvCnPr>
                          <a:cxnSpLocks noChangeShapeType="1"/>
                        </wps:cNvCnPr>
                        <wps:spPr bwMode="auto">
                          <a:xfrm flipV="1">
                            <a:off x="5660" y="4186"/>
                            <a:ext cx="783" cy="20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7"/>
                        <wps:cNvCnPr>
                          <a:cxnSpLocks noChangeShapeType="1"/>
                        </wps:cNvCnPr>
                        <wps:spPr bwMode="auto">
                          <a:xfrm>
                            <a:off x="5660" y="2941"/>
                            <a:ext cx="3488" cy="1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38"/>
                        <wps:cNvCnPr>
                          <a:cxnSpLocks noChangeShapeType="1"/>
                        </wps:cNvCnPr>
                        <wps:spPr bwMode="auto">
                          <a:xfrm flipV="1">
                            <a:off x="5660" y="4274"/>
                            <a:ext cx="3488" cy="194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39"/>
                        <wps:cNvCnPr>
                          <a:cxnSpLocks noChangeShapeType="1"/>
                        </wps:cNvCnPr>
                        <wps:spPr bwMode="auto">
                          <a:xfrm>
                            <a:off x="7705" y="4089"/>
                            <a:ext cx="144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40"/>
                        <wps:cNvCnPr>
                          <a:cxnSpLocks noChangeShapeType="1"/>
                        </wps:cNvCnPr>
                        <wps:spPr bwMode="auto">
                          <a:xfrm flipV="1">
                            <a:off x="5660" y="4186"/>
                            <a:ext cx="3488" cy="10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41"/>
                        <wps:cNvSpPr>
                          <a:spLocks noChangeArrowheads="1"/>
                        </wps:cNvSpPr>
                        <wps:spPr bwMode="auto">
                          <a:xfrm>
                            <a:off x="5555" y="4352"/>
                            <a:ext cx="653"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822FFE" w:rsidRDefault="00F258EB" w:rsidP="00F22990">
                              <w:pPr>
                                <w:rPr>
                                  <w:b/>
                                  <w:sz w:val="22"/>
                                  <w:szCs w:val="22"/>
                                </w:rPr>
                              </w:pPr>
                              <w:r w:rsidRPr="00822FFE">
                                <w:rPr>
                                  <w:b/>
                                  <w:sz w:val="22"/>
                                  <w:szCs w:val="22"/>
                                </w:rPr>
                                <w:t>H</w:t>
                              </w:r>
                              <w:r w:rsidRPr="00822FFE">
                                <w:rPr>
                                  <w:b/>
                                  <w:sz w:val="22"/>
                                  <w:szCs w:val="22"/>
                                  <w:vertAlign w:val="subscript"/>
                                </w:rPr>
                                <w:t>7</w:t>
                              </w:r>
                            </w:p>
                          </w:txbxContent>
                        </wps:txbx>
                        <wps:bodyPr rot="0" vert="horz" wrap="square" lIns="91440" tIns="45720" rIns="91440" bIns="45720" anchor="t" anchorCtr="0" upright="1">
                          <a:noAutofit/>
                        </wps:bodyPr>
                      </wps:wsp>
                      <wps:wsp>
                        <wps:cNvPr id="71" name="AutoShape 42"/>
                        <wps:cNvCnPr>
                          <a:cxnSpLocks noChangeShapeType="1"/>
                        </wps:cNvCnPr>
                        <wps:spPr bwMode="auto">
                          <a:xfrm flipV="1">
                            <a:off x="5660" y="4089"/>
                            <a:ext cx="783" cy="11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01BE0" id="Group 42" o:spid="_x0000_s1026" style="position:absolute;margin-left:7.15pt;margin-top:2.15pt;width:359.3pt;height:174.75pt;z-index:251663360" coordorigin="2397,2620" coordsize="7663,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">
                <v:rect id="Rectangle 14" o:spid="_x0000_s1027" style="position:absolute;left:4437;top:5903;width:122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F258EB" w:rsidRPr="00CE4DD1" w:rsidRDefault="00F258EB" w:rsidP="00F22990">
                        <w:pPr>
                          <w:jc w:val="center"/>
                          <w:rPr>
                            <w:sz w:val="22"/>
                            <w:szCs w:val="22"/>
                          </w:rPr>
                        </w:pPr>
                        <w:r w:rsidRPr="00CE4DD1">
                          <w:rPr>
                            <w:sz w:val="22"/>
                            <w:szCs w:val="22"/>
                          </w:rPr>
                          <w:t>ROA</w:t>
                        </w:r>
                      </w:p>
                    </w:txbxContent>
                  </v:textbox>
                </v:rect>
                <v:rect id="Rectangle 15" o:spid="_x0000_s1028" style="position:absolute;left:3447;top:3262;width:6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8</w:t>
                        </w:r>
                      </w:p>
                    </w:txbxContent>
                  </v:textbox>
                </v:rect>
                <v:rect id="Rectangle 16" o:spid="_x0000_s1029" style="position:absolute;left:5668;top:3496;width:6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2</w:t>
                        </w:r>
                      </w:p>
                    </w:txbxContent>
                  </v:textbox>
                </v:rect>
                <v:shapetype id="_x0000_t32" coordsize="21600,21600" o:spt="32" o:oned="t" path="m,l21600,21600e" filled="f">
                  <v:path arrowok="t" fillok="f" o:connecttype="none"/>
                  <o:lock v:ext="edit" shapetype="t"/>
                </v:shapetype>
                <v:shape id="AutoShape 17" o:spid="_x0000_s1030" type="#_x0000_t32" style="position:absolute;left:5660;top:2941;width:783;height:1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rect id="Rectangle 18" o:spid="_x0000_s1031" style="position:absolute;left:4437;top:3710;width:893;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11</w:t>
                        </w:r>
                      </w:p>
                    </w:txbxContent>
                  </v:textbox>
                </v:rect>
                <v:rect id="Rectangle 19" o:spid="_x0000_s1032" style="position:absolute;left:3856;top:4353;width:90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textbox>
                    <w:txbxContent>
                      <w:p w:rsidR="00F258EB" w:rsidRPr="00DC2203" w:rsidRDefault="00F258EB" w:rsidP="00F22990">
                        <w:pPr>
                          <w:rPr>
                            <w:b/>
                            <w:sz w:val="20"/>
                            <w:szCs w:val="20"/>
                          </w:rPr>
                        </w:pPr>
                        <w:r w:rsidRPr="00DC2203">
                          <w:rPr>
                            <w:b/>
                            <w:sz w:val="20"/>
                            <w:szCs w:val="20"/>
                          </w:rPr>
                          <w:t>H</w:t>
                        </w:r>
                        <w:r w:rsidRPr="00DC2203">
                          <w:rPr>
                            <w:b/>
                            <w:sz w:val="20"/>
                            <w:szCs w:val="20"/>
                            <w:vertAlign w:val="subscript"/>
                          </w:rPr>
                          <w:t>10</w:t>
                        </w:r>
                      </w:p>
                    </w:txbxContent>
                  </v:textbox>
                </v:rect>
                <v:rect id="Rectangle 20" o:spid="_x0000_s1033" style="position:absolute;left:3551;top:5191;width:6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textbox>
                    <w:txbxContent>
                      <w:p w:rsidR="00F258EB" w:rsidRPr="00822FFE" w:rsidRDefault="00F258EB" w:rsidP="00F22990">
                        <w:pPr>
                          <w:rPr>
                            <w:b/>
                            <w:sz w:val="22"/>
                            <w:szCs w:val="22"/>
                          </w:rPr>
                        </w:pPr>
                        <w:r w:rsidRPr="00822FFE">
                          <w:rPr>
                            <w:b/>
                            <w:sz w:val="22"/>
                            <w:szCs w:val="22"/>
                          </w:rPr>
                          <w:t>H</w:t>
                        </w:r>
                        <w:r w:rsidRPr="00822FFE">
                          <w:rPr>
                            <w:b/>
                            <w:sz w:val="22"/>
                            <w:szCs w:val="22"/>
                            <w:vertAlign w:val="subscript"/>
                          </w:rPr>
                          <w:t>9</w:t>
                        </w:r>
                      </w:p>
                    </w:txbxContent>
                  </v:textbox>
                </v:rect>
                <v:rect id="Rectangle 21" o:spid="_x0000_s1034" style="position:absolute;left:5881;top:5256;width:65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textbox>
                    <w:txbxContent>
                      <w:p w:rsidR="00F258EB" w:rsidRPr="00822FFE" w:rsidRDefault="00F258EB" w:rsidP="00F22990">
                        <w:pPr>
                          <w:rPr>
                            <w:b/>
                            <w:sz w:val="22"/>
                            <w:szCs w:val="22"/>
                          </w:rPr>
                        </w:pPr>
                        <w:r w:rsidRPr="00822FFE">
                          <w:rPr>
                            <w:b/>
                            <w:sz w:val="22"/>
                            <w:szCs w:val="22"/>
                          </w:rPr>
                          <w:t>H</w:t>
                        </w:r>
                        <w:r w:rsidRPr="00822FFE">
                          <w:rPr>
                            <w:b/>
                            <w:sz w:val="22"/>
                            <w:szCs w:val="22"/>
                            <w:vertAlign w:val="subscript"/>
                          </w:rPr>
                          <w:t>4</w:t>
                        </w:r>
                      </w:p>
                    </w:txbxContent>
                  </v:textbox>
                </v:rect>
                <v:rect id="Rectangle 22" o:spid="_x0000_s1035" style="position:absolute;left:6847;top:4700;width:6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6</w:t>
                        </w:r>
                      </w:p>
                    </w:txbxContent>
                  </v:textbox>
                </v:rect>
                <v:rect id="Rectangle 23" o:spid="_x0000_s1036" style="position:absolute;left:7143;top:5223;width:65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5</w:t>
                        </w:r>
                      </w:p>
                    </w:txbxContent>
                  </v:textbox>
                </v:rect>
                <v:rect id="Rectangle 24" o:spid="_x0000_s1037" style="position:absolute;left:7908;top:3716;width:6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1</w:t>
                        </w:r>
                      </w:p>
                    </w:txbxContent>
                  </v:textbox>
                </v:rect>
                <v:rect id="Rectangle 25" o:spid="_x0000_s1038" style="position:absolute;left:6673;top:2999;width:6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textbox>
                    <w:txbxContent>
                      <w:p w:rsidR="00F258EB" w:rsidRPr="00E216DA" w:rsidRDefault="00F258EB" w:rsidP="00F22990">
                        <w:pPr>
                          <w:rPr>
                            <w:b/>
                            <w:sz w:val="22"/>
                            <w:szCs w:val="22"/>
                          </w:rPr>
                        </w:pPr>
                        <w:r w:rsidRPr="00E216DA">
                          <w:rPr>
                            <w:b/>
                            <w:sz w:val="22"/>
                            <w:szCs w:val="22"/>
                          </w:rPr>
                          <w:t>H</w:t>
                        </w:r>
                        <w:r w:rsidRPr="00E216DA">
                          <w:rPr>
                            <w:b/>
                            <w:sz w:val="22"/>
                            <w:szCs w:val="22"/>
                            <w:vertAlign w:val="subscript"/>
                          </w:rPr>
                          <w:t>3</w:t>
                        </w:r>
                      </w:p>
                    </w:txbxContent>
                  </v:textbox>
                </v:rect>
                <v:rect id="Rectangle 26" o:spid="_x0000_s1039" style="position:absolute;left:5551;top:4350;width:60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textbox>
                    <w:txbxContent>
                      <w:p w:rsidR="00F258EB" w:rsidRDefault="00F258EB" w:rsidP="00F22990">
                        <w:r>
                          <w:t xml:space="preserve">  H7</w:t>
                        </w:r>
                      </w:p>
                    </w:txbxContent>
                  </v:textbox>
                </v:rect>
                <v:rect id="Rectangle 27" o:spid="_x0000_s1040" style="position:absolute;left:2397;top:3820;width:100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F258EB" w:rsidRPr="00CE4DD1" w:rsidRDefault="00F258EB" w:rsidP="00F22990">
                        <w:pPr>
                          <w:jc w:val="center"/>
                          <w:rPr>
                            <w:sz w:val="22"/>
                            <w:szCs w:val="22"/>
                          </w:rPr>
                        </w:pPr>
                        <w:r w:rsidRPr="00CE4DD1">
                          <w:rPr>
                            <w:sz w:val="22"/>
                            <w:szCs w:val="22"/>
                          </w:rPr>
                          <w:t>SIZE</w:t>
                        </w:r>
                      </w:p>
                    </w:txbxContent>
                  </v:textbox>
                </v:rect>
                <v:rect id="Rectangle 28" o:spid="_x0000_s1041" style="position:absolute;left:4398;top:2620;width:1262;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F258EB" w:rsidRPr="00CE4DD1" w:rsidRDefault="00F258EB" w:rsidP="00F22990">
                        <w:pPr>
                          <w:jc w:val="center"/>
                          <w:rPr>
                            <w:sz w:val="22"/>
                            <w:szCs w:val="22"/>
                          </w:rPr>
                        </w:pPr>
                        <w:r w:rsidRPr="00CE4DD1">
                          <w:rPr>
                            <w:sz w:val="22"/>
                            <w:szCs w:val="22"/>
                          </w:rPr>
                          <w:t>BOARD SIZE</w:t>
                        </w:r>
                      </w:p>
                    </w:txbxContent>
                  </v:textbox>
                </v:rect>
                <v:rect id="Rectangle 29" o:spid="_x0000_s1042" style="position:absolute;left:4398;top:4899;width:126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F258EB" w:rsidRPr="00CE4DD1" w:rsidRDefault="00F258EB" w:rsidP="00F22990">
                        <w:pPr>
                          <w:jc w:val="center"/>
                          <w:rPr>
                            <w:sz w:val="22"/>
                            <w:szCs w:val="22"/>
                          </w:rPr>
                        </w:pPr>
                        <w:r w:rsidRPr="00CE4DD1">
                          <w:rPr>
                            <w:sz w:val="22"/>
                            <w:szCs w:val="22"/>
                          </w:rPr>
                          <w:t>DAR</w:t>
                        </w:r>
                      </w:p>
                    </w:txbxContent>
                  </v:textbox>
                </v:rect>
                <v:rect id="Rectangle 30" o:spid="_x0000_s1043" style="position:absolute;left:6443;top:3859;width:1262;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F258EB" w:rsidRPr="00CE4DD1" w:rsidRDefault="00F258EB" w:rsidP="00F22990">
                        <w:pPr>
                          <w:jc w:val="center"/>
                          <w:rPr>
                            <w:sz w:val="22"/>
                            <w:szCs w:val="22"/>
                          </w:rPr>
                        </w:pPr>
                        <w:r w:rsidRPr="00CE4DD1">
                          <w:rPr>
                            <w:sz w:val="22"/>
                            <w:szCs w:val="22"/>
                          </w:rPr>
                          <w:t>PROPER</w:t>
                        </w:r>
                      </w:p>
                    </w:txbxContent>
                  </v:textbox>
                </v:rect>
                <v:rect id="Rectangle 31" o:spid="_x0000_s1044" style="position:absolute;left:9148;top:3873;width:912;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F258EB" w:rsidRPr="00CE4DD1" w:rsidRDefault="00F258EB" w:rsidP="00F22990">
                        <w:pPr>
                          <w:jc w:val="center"/>
                          <w:rPr>
                            <w:sz w:val="22"/>
                            <w:szCs w:val="22"/>
                          </w:rPr>
                        </w:pPr>
                        <w:r w:rsidRPr="00CE4DD1">
                          <w:rPr>
                            <w:sz w:val="22"/>
                            <w:szCs w:val="22"/>
                          </w:rPr>
                          <w:t>CED</w:t>
                        </w:r>
                      </w:p>
                    </w:txbxContent>
                  </v:textbox>
                </v:rect>
                <v:shape id="AutoShape 32" o:spid="_x0000_s1045" type="#_x0000_t32" style="position:absolute;left:3447;top:2941;width:951;height:11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shape id="AutoShape 33" o:spid="_x0000_s1046" type="#_x0000_t32" style="position:absolute;left:3405;top:4063;width:993;height:1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34" o:spid="_x0000_s1047" type="#_x0000_t32" style="position:absolute;left:3405;top:4084;width:1032;height:2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35" o:spid="_x0000_s1048" type="#_x0000_t32" style="position:absolute;left:3405;top:4062;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36" o:spid="_x0000_s1049" type="#_x0000_t32" style="position:absolute;left:5660;top:4186;width:783;height:20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shape id="AutoShape 37" o:spid="_x0000_s1050" type="#_x0000_t32" style="position:absolute;left:5660;top:2941;width:3488;height:1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38" o:spid="_x0000_s1051" type="#_x0000_t32" style="position:absolute;left:5660;top:4274;width:3488;height:1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">
                  <v:stroke dashstyle="dash"/>
                </v:shape>
                <v:shape id="AutoShape 39" o:spid="_x0000_s1052" type="#_x0000_t32" style="position:absolute;left:7705;top:4089;width:144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40" o:spid="_x0000_s1053" type="#_x0000_t32" style="position:absolute;left:5660;top:4186;width:3488;height:1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">
                  <v:stroke endarrow="block"/>
                </v:shape>
                <v:rect id="Rectangle 41" o:spid="_x0000_s1054" style="position:absolute;left:5555;top:4352;width:653;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textbox>
                    <w:txbxContent>
                      <w:p w:rsidR="00F258EB" w:rsidRPr="00822FFE" w:rsidRDefault="00F258EB" w:rsidP="00F22990">
                        <w:pPr>
                          <w:rPr>
                            <w:b/>
                            <w:sz w:val="22"/>
                            <w:szCs w:val="22"/>
                          </w:rPr>
                        </w:pPr>
                        <w:r w:rsidRPr="00822FFE">
                          <w:rPr>
                            <w:b/>
                            <w:sz w:val="22"/>
                            <w:szCs w:val="22"/>
                          </w:rPr>
                          <w:t>H</w:t>
                        </w:r>
                        <w:r w:rsidRPr="00822FFE">
                          <w:rPr>
                            <w:b/>
                            <w:sz w:val="22"/>
                            <w:szCs w:val="22"/>
                            <w:vertAlign w:val="subscript"/>
                          </w:rPr>
                          <w:t>7</w:t>
                        </w:r>
                      </w:p>
                    </w:txbxContent>
                  </v:textbox>
                </v:rect>
                <v:shape id="AutoShape 42" o:spid="_x0000_s1055" type="#_x0000_t32" style="position:absolute;left:5660;top:4089;width:783;height:1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">
                  <v:stroke dashstyle="dash"/>
                </v:shape>
              </v:group>
            </w:pict>
          </mc:Fallback>
        </mc:AlternateContent>
      </w: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CE4DD1" w:rsidRDefault="00F22990" w:rsidP="00F22990">
      <w:pPr>
        <w:jc w:val="both"/>
        <w:rPr>
          <w:b/>
          <w:sz w:val="20"/>
          <w:szCs w:val="20"/>
        </w:rPr>
      </w:pPr>
    </w:p>
    <w:p w:rsidR="00F22990" w:rsidRPr="00F22990" w:rsidRDefault="00F22990" w:rsidP="00F22990">
      <w:pPr>
        <w:jc w:val="both"/>
        <w:rPr>
          <w:b/>
          <w:sz w:val="22"/>
          <w:szCs w:val="22"/>
        </w:rPr>
      </w:pPr>
    </w:p>
    <w:p w:rsidR="00F22990" w:rsidRDefault="00F22990" w:rsidP="00F22990">
      <w:pPr>
        <w:jc w:val="both"/>
        <w:rPr>
          <w:b/>
          <w:sz w:val="22"/>
          <w:szCs w:val="22"/>
        </w:rPr>
      </w:pPr>
    </w:p>
    <w:p w:rsidR="002D014D" w:rsidRDefault="002D014D" w:rsidP="00F22990">
      <w:pPr>
        <w:jc w:val="both"/>
        <w:rPr>
          <w:b/>
          <w:sz w:val="22"/>
          <w:szCs w:val="22"/>
        </w:rPr>
      </w:pPr>
    </w:p>
    <w:p w:rsidR="00CE4DD1" w:rsidRPr="00F22990" w:rsidRDefault="00CE4DD1" w:rsidP="00F22990">
      <w:pPr>
        <w:jc w:val="both"/>
        <w:rPr>
          <w:b/>
          <w:sz w:val="22"/>
          <w:szCs w:val="22"/>
        </w:rPr>
      </w:pPr>
    </w:p>
    <w:p w:rsidR="00F22990" w:rsidRPr="00F22990" w:rsidRDefault="00EF65BC" w:rsidP="00F22990">
      <w:pPr>
        <w:jc w:val="both"/>
        <w:rPr>
          <w:sz w:val="22"/>
          <w:szCs w:val="22"/>
        </w:rPr>
      </w:pPr>
      <w:r>
        <w:rPr>
          <w:b/>
          <w:noProof/>
          <w:sz w:val="22"/>
          <w:szCs w:val="22"/>
        </w:rPr>
        <mc:AlternateContent>
          <mc:Choice Requires="wps">
            <w:drawing>
              <wp:anchor distT="4294967295" distB="4294967295" distL="114300" distR="114300" simplePos="0" relativeHeight="251659264" behindDoc="0" locked="0" layoutInCell="1" allowOverlap="1" wp14:anchorId="2F92838D">
                <wp:simplePos x="0" y="0"/>
                <wp:positionH relativeFrom="column">
                  <wp:posOffset>267335</wp:posOffset>
                </wp:positionH>
                <wp:positionV relativeFrom="paragraph">
                  <wp:posOffset>112394</wp:posOffset>
                </wp:positionV>
                <wp:extent cx="1052195" cy="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E519" id="Straight Arrow Connector 41" o:spid="_x0000_s1026" type="#_x0000_t32" style="position:absolute;margin-left:21.05pt;margin-top:8.85pt;width:8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">
                <v:stroke dashstyle="dash"/>
              </v:shape>
            </w:pict>
          </mc:Fallback>
        </mc:AlternateContent>
      </w:r>
      <w:r w:rsidR="00F22990" w:rsidRPr="00F22990">
        <w:rPr>
          <w:b/>
          <w:sz w:val="22"/>
          <w:szCs w:val="22"/>
        </w:rPr>
        <w:tab/>
      </w:r>
      <w:r w:rsidR="00F22990" w:rsidRPr="00F22990">
        <w:rPr>
          <w:b/>
          <w:sz w:val="22"/>
          <w:szCs w:val="22"/>
        </w:rPr>
        <w:tab/>
      </w:r>
      <w:r w:rsidR="00F22990" w:rsidRPr="00F22990">
        <w:rPr>
          <w:b/>
          <w:sz w:val="22"/>
          <w:szCs w:val="22"/>
        </w:rPr>
        <w:tab/>
        <w:t xml:space="preserve">: </w:t>
      </w:r>
      <w:r w:rsidR="00F22990" w:rsidRPr="00F22990">
        <w:rPr>
          <w:sz w:val="22"/>
          <w:szCs w:val="22"/>
        </w:rPr>
        <w:t>Null Hypothesis</w:t>
      </w:r>
    </w:p>
    <w:p w:rsidR="00F22990" w:rsidRPr="00F22990" w:rsidRDefault="00EF65BC" w:rsidP="00F22990">
      <w:pPr>
        <w:jc w:val="both"/>
        <w:rPr>
          <w:sz w:val="22"/>
          <w:szCs w:val="22"/>
        </w:rPr>
      </w:pPr>
      <w:r>
        <w:rPr>
          <w:b/>
          <w:noProof/>
          <w:sz w:val="22"/>
          <w:szCs w:val="22"/>
        </w:rPr>
        <mc:AlternateContent>
          <mc:Choice Requires="wps">
            <w:drawing>
              <wp:anchor distT="4294967295" distB="4294967295" distL="114300" distR="114300" simplePos="0" relativeHeight="251660288" behindDoc="0" locked="0" layoutInCell="1" allowOverlap="1" wp14:anchorId="36596196">
                <wp:simplePos x="0" y="0"/>
                <wp:positionH relativeFrom="column">
                  <wp:posOffset>259715</wp:posOffset>
                </wp:positionH>
                <wp:positionV relativeFrom="paragraph">
                  <wp:posOffset>100964</wp:posOffset>
                </wp:positionV>
                <wp:extent cx="1052195" cy="0"/>
                <wp:effectExtent l="0" t="76200" r="0" b="762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61EEC" id="Straight Arrow Connector 40" o:spid="_x0000_s1026" type="#_x0000_t32" style="position:absolute;margin-left:20.45pt;margin-top:7.95pt;width:82.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" strokeweight="1pt">
                <v:stroke endarrow="block"/>
              </v:shape>
            </w:pict>
          </mc:Fallback>
        </mc:AlternateContent>
      </w:r>
      <w:r w:rsidR="00F22990" w:rsidRPr="00F22990">
        <w:rPr>
          <w:sz w:val="22"/>
          <w:szCs w:val="22"/>
        </w:rPr>
        <w:tab/>
      </w:r>
      <w:r w:rsidR="00F22990" w:rsidRPr="00F22990">
        <w:rPr>
          <w:sz w:val="22"/>
          <w:szCs w:val="22"/>
        </w:rPr>
        <w:tab/>
      </w:r>
      <w:r w:rsidR="00F22990" w:rsidRPr="00F22990">
        <w:rPr>
          <w:sz w:val="22"/>
          <w:szCs w:val="22"/>
        </w:rPr>
        <w:tab/>
        <w:t>: Alternative Hypothesis</w:t>
      </w:r>
    </w:p>
    <w:p w:rsidR="00F22990" w:rsidRPr="00F22990" w:rsidRDefault="00F22990" w:rsidP="00F22990">
      <w:pPr>
        <w:contextualSpacing/>
        <w:jc w:val="both"/>
        <w:rPr>
          <w:sz w:val="22"/>
          <w:szCs w:val="22"/>
        </w:rPr>
      </w:pPr>
    </w:p>
    <w:p w:rsidR="00F22990" w:rsidRPr="00F22990" w:rsidRDefault="00F22990" w:rsidP="00F317EB">
      <w:pPr>
        <w:contextualSpacing/>
        <w:rPr>
          <w:sz w:val="22"/>
          <w:szCs w:val="22"/>
        </w:rPr>
      </w:pPr>
      <w:r w:rsidRPr="00F22990">
        <w:rPr>
          <w:b/>
          <w:sz w:val="22"/>
          <w:szCs w:val="22"/>
        </w:rPr>
        <w:t>Figure 1</w:t>
      </w:r>
      <w:r w:rsidRPr="00F22990">
        <w:rPr>
          <w:sz w:val="22"/>
          <w:szCs w:val="22"/>
        </w:rPr>
        <w:t xml:space="preserve">: Theoretical </w:t>
      </w:r>
      <w:r w:rsidR="00F317EB">
        <w:rPr>
          <w:sz w:val="22"/>
          <w:szCs w:val="22"/>
        </w:rPr>
        <w:t>m</w:t>
      </w:r>
      <w:r w:rsidRPr="00F22990">
        <w:rPr>
          <w:sz w:val="22"/>
          <w:szCs w:val="22"/>
        </w:rPr>
        <w:t>odel</w:t>
      </w:r>
    </w:p>
    <w:p w:rsidR="00F22990" w:rsidRPr="00F22990" w:rsidRDefault="00F22990" w:rsidP="00F22990">
      <w:pPr>
        <w:contextualSpacing/>
        <w:jc w:val="both"/>
        <w:rPr>
          <w:b/>
          <w:sz w:val="22"/>
          <w:szCs w:val="22"/>
        </w:rPr>
      </w:pPr>
    </w:p>
    <w:p w:rsidR="00F317EB" w:rsidRDefault="00F317EB"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METHODOLOGY</w:t>
      </w:r>
    </w:p>
    <w:p w:rsidR="00F22990" w:rsidRPr="00F22990" w:rsidRDefault="00F22990"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Population and Sample</w:t>
      </w:r>
    </w:p>
    <w:p w:rsidR="00F22990" w:rsidRPr="00F22990" w:rsidRDefault="00F22990" w:rsidP="00F22990">
      <w:pPr>
        <w:jc w:val="both"/>
        <w:rPr>
          <w:sz w:val="22"/>
          <w:szCs w:val="22"/>
        </w:rPr>
      </w:pPr>
    </w:p>
    <w:p w:rsidR="00F22990" w:rsidRPr="00F317EB" w:rsidRDefault="00F22990" w:rsidP="003950C8">
      <w:pPr>
        <w:ind w:firstLine="284"/>
        <w:jc w:val="both"/>
        <w:rPr>
          <w:sz w:val="22"/>
          <w:szCs w:val="22"/>
        </w:rPr>
      </w:pPr>
      <w:r w:rsidRPr="00F22990">
        <w:rPr>
          <w:sz w:val="22"/>
          <w:szCs w:val="22"/>
        </w:rPr>
        <w:t xml:space="preserve">The population of this study is all manufacturing companies listed in IDX in 2013, 2014 and 2015 reaching the number of 440 companies. By employing </w:t>
      </w:r>
      <w:r w:rsidRPr="00F317EB">
        <w:rPr>
          <w:sz w:val="22"/>
          <w:szCs w:val="22"/>
        </w:rPr>
        <w:t xml:space="preserve">purposive sampling technique, the study collected 144 data from Indonesian manufacturing companies. This sample size is considered sufficient for the purposes of path analysis </w:t>
      </w:r>
      <w:r w:rsidRPr="00F317EB">
        <w:rPr>
          <w:noProof/>
          <w:sz w:val="22"/>
          <w:szCs w:val="22"/>
        </w:rPr>
        <w:t xml:space="preserve">(Wolf, Harrington, Clark </w:t>
      </w:r>
      <w:r w:rsidR="00344650" w:rsidRPr="00F317EB">
        <w:rPr>
          <w:noProof/>
          <w:sz w:val="22"/>
          <w:szCs w:val="22"/>
        </w:rPr>
        <w:t>and</w:t>
      </w:r>
      <w:r w:rsidRPr="00F317EB">
        <w:rPr>
          <w:noProof/>
          <w:sz w:val="22"/>
          <w:szCs w:val="22"/>
        </w:rPr>
        <w:t xml:space="preserve"> Miller, 2013)</w:t>
      </w:r>
      <w:r w:rsidRPr="00F317EB">
        <w:rPr>
          <w:sz w:val="22"/>
          <w:szCs w:val="22"/>
        </w:rPr>
        <w:t xml:space="preserve"> and normality test </w:t>
      </w:r>
      <w:r w:rsidRPr="00F317EB">
        <w:rPr>
          <w:noProof/>
          <w:sz w:val="22"/>
          <w:szCs w:val="22"/>
        </w:rPr>
        <w:t xml:space="preserve">(Ghasemi </w:t>
      </w:r>
      <w:r w:rsidR="0085776F" w:rsidRPr="00F317EB">
        <w:rPr>
          <w:noProof/>
          <w:sz w:val="22"/>
          <w:szCs w:val="22"/>
        </w:rPr>
        <w:t>and</w:t>
      </w:r>
      <w:r w:rsidRPr="00F317EB">
        <w:rPr>
          <w:noProof/>
          <w:sz w:val="22"/>
          <w:szCs w:val="22"/>
        </w:rPr>
        <w:t xml:space="preserve"> Zahediasl, 2012)</w:t>
      </w:r>
      <w:r w:rsidRPr="00F317EB">
        <w:rPr>
          <w:sz w:val="22"/>
          <w:szCs w:val="22"/>
        </w:rPr>
        <w:t>.</w:t>
      </w:r>
    </w:p>
    <w:p w:rsidR="00F22990" w:rsidRPr="00F22990" w:rsidRDefault="00F22990"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Variables</w:t>
      </w:r>
      <w:r w:rsidR="00F317EB">
        <w:rPr>
          <w:b/>
          <w:sz w:val="22"/>
          <w:szCs w:val="22"/>
        </w:rPr>
        <w:t xml:space="preserve"> Description</w:t>
      </w:r>
      <w:r w:rsidRPr="00F22990">
        <w:rPr>
          <w:b/>
          <w:sz w:val="22"/>
          <w:szCs w:val="22"/>
        </w:rPr>
        <w:t xml:space="preserve"> </w:t>
      </w:r>
    </w:p>
    <w:p w:rsidR="00F22990" w:rsidRPr="00F22990" w:rsidRDefault="00F22990" w:rsidP="00F22990">
      <w:pPr>
        <w:contextualSpacing/>
        <w:jc w:val="both"/>
        <w:rPr>
          <w:sz w:val="22"/>
          <w:szCs w:val="22"/>
        </w:rPr>
      </w:pPr>
    </w:p>
    <w:p w:rsidR="00F22990" w:rsidRPr="00F22990" w:rsidRDefault="00F22990" w:rsidP="0085776F">
      <w:pPr>
        <w:ind w:firstLine="284"/>
        <w:contextualSpacing/>
        <w:jc w:val="both"/>
        <w:rPr>
          <w:sz w:val="22"/>
          <w:szCs w:val="22"/>
        </w:rPr>
      </w:pPr>
      <w:r w:rsidRPr="00F22990">
        <w:rPr>
          <w:sz w:val="22"/>
          <w:szCs w:val="22"/>
        </w:rPr>
        <w:t xml:space="preserve">This study employs six variables </w:t>
      </w:r>
      <w:r w:rsidRPr="00F22990">
        <w:rPr>
          <w:i/>
          <w:sz w:val="22"/>
          <w:szCs w:val="22"/>
        </w:rPr>
        <w:t>i.e.</w:t>
      </w:r>
      <w:r w:rsidRPr="00F22990">
        <w:rPr>
          <w:sz w:val="22"/>
          <w:szCs w:val="22"/>
        </w:rPr>
        <w:t xml:space="preserve"> Carbon Emission Disclosure (</w:t>
      </w:r>
      <w:proofErr w:type="spellStart"/>
      <w:r w:rsidRPr="00F22990">
        <w:rPr>
          <w:sz w:val="22"/>
          <w:szCs w:val="22"/>
        </w:rPr>
        <w:t>CED</w:t>
      </w:r>
      <w:proofErr w:type="spellEnd"/>
      <w:r w:rsidRPr="00F22990">
        <w:rPr>
          <w:sz w:val="22"/>
          <w:szCs w:val="22"/>
        </w:rPr>
        <w:t xml:space="preserve">), PROPER, </w:t>
      </w:r>
      <w:proofErr w:type="spellStart"/>
      <w:r w:rsidRPr="00F22990">
        <w:rPr>
          <w:sz w:val="22"/>
          <w:szCs w:val="22"/>
        </w:rPr>
        <w:t>ROA</w:t>
      </w:r>
      <w:proofErr w:type="spellEnd"/>
      <w:r w:rsidRPr="00F22990">
        <w:rPr>
          <w:sz w:val="22"/>
          <w:szCs w:val="22"/>
        </w:rPr>
        <w:t xml:space="preserve">, Debt-Asset Ratio (DAR), Board Size and Company Size. </w:t>
      </w:r>
      <w:proofErr w:type="spellStart"/>
      <w:r w:rsidRPr="00F22990">
        <w:rPr>
          <w:sz w:val="22"/>
          <w:szCs w:val="22"/>
        </w:rPr>
        <w:t>CED</w:t>
      </w:r>
      <w:proofErr w:type="spellEnd"/>
      <w:r w:rsidRPr="00F22990">
        <w:rPr>
          <w:sz w:val="22"/>
          <w:szCs w:val="22"/>
        </w:rPr>
        <w:t xml:space="preserve"> is examined with content analysis by identifying reported items in financial reports. Considerable number of studies has employed this analysis like the one conducted by </w:t>
      </w:r>
      <w:r w:rsidRPr="00F22990">
        <w:rPr>
          <w:noProof/>
          <w:sz w:val="22"/>
          <w:szCs w:val="22"/>
        </w:rPr>
        <w:t>Bae Choi et al. (2013)</w:t>
      </w:r>
      <w:r w:rsidRPr="00F22990">
        <w:rPr>
          <w:sz w:val="22"/>
          <w:szCs w:val="22"/>
        </w:rPr>
        <w:t xml:space="preserve"> to identify carbon emissions in financial reports. </w:t>
      </w:r>
      <w:r w:rsidRPr="00F22990">
        <w:rPr>
          <w:noProof/>
          <w:sz w:val="22"/>
          <w:szCs w:val="22"/>
        </w:rPr>
        <w:t>Trireksani and Djajadikerta (2016)</w:t>
      </w:r>
      <w:r w:rsidRPr="00F22990">
        <w:rPr>
          <w:sz w:val="22"/>
          <w:szCs w:val="22"/>
        </w:rPr>
        <w:t xml:space="preserve"> and </w:t>
      </w:r>
      <w:r w:rsidRPr="00F22990">
        <w:rPr>
          <w:noProof/>
          <w:sz w:val="22"/>
          <w:szCs w:val="22"/>
        </w:rPr>
        <w:t>Fallan (2016)</w:t>
      </w:r>
      <w:r w:rsidRPr="00F22990">
        <w:rPr>
          <w:sz w:val="22"/>
          <w:szCs w:val="22"/>
        </w:rPr>
        <w:t xml:space="preserve"> also apply this analysis to identify environmental disclosure. PROPER is derived from companies’ ratings in managing environment consisting of five levels; gold, green, blue, red and black, with gold as the </w:t>
      </w:r>
      <w:r w:rsidR="00330B2F" w:rsidRPr="00F22990">
        <w:rPr>
          <w:sz w:val="22"/>
          <w:szCs w:val="22"/>
        </w:rPr>
        <w:t>highest-level</w:t>
      </w:r>
      <w:r w:rsidRPr="00F22990">
        <w:rPr>
          <w:sz w:val="22"/>
          <w:szCs w:val="22"/>
        </w:rPr>
        <w:t xml:space="preserve"> scoring 5 and black as the lowest one scoring 1 </w:t>
      </w:r>
      <w:r w:rsidRPr="00F22990">
        <w:rPr>
          <w:noProof/>
          <w:sz w:val="22"/>
          <w:szCs w:val="22"/>
        </w:rPr>
        <w:t>(KEMENLHK, 2015)</w:t>
      </w:r>
      <w:r w:rsidRPr="00F22990">
        <w:rPr>
          <w:sz w:val="22"/>
          <w:szCs w:val="22"/>
        </w:rPr>
        <w:t xml:space="preserve">.  </w:t>
      </w:r>
      <w:proofErr w:type="spellStart"/>
      <w:r w:rsidRPr="00F22990">
        <w:rPr>
          <w:sz w:val="22"/>
          <w:szCs w:val="22"/>
        </w:rPr>
        <w:t>ROA</w:t>
      </w:r>
      <w:proofErr w:type="spellEnd"/>
      <w:r w:rsidRPr="00F22990">
        <w:rPr>
          <w:sz w:val="22"/>
          <w:szCs w:val="22"/>
        </w:rPr>
        <w:t xml:space="preserve"> is a profitability ratio by dividing net income with total assets, while DAR is a ratio that indicates the proportion of a company’s total debt to its total assets. Board size is derived from the number of the board of commissioners, while company size is measured by total assets of the company. From the model developed </w:t>
      </w:r>
      <w:r w:rsidRPr="00F22990">
        <w:rPr>
          <w:sz w:val="22"/>
          <w:szCs w:val="22"/>
        </w:rPr>
        <w:lastRenderedPageBreak/>
        <w:t>in the previous literature review, this research holds one exogenous variable (Company Size) while the other six are endogenous.</w:t>
      </w:r>
    </w:p>
    <w:p w:rsidR="00F22990" w:rsidRPr="00F22990" w:rsidRDefault="00F22990"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Data Analysis</w:t>
      </w:r>
    </w:p>
    <w:p w:rsidR="00F22990" w:rsidRPr="00F22990" w:rsidRDefault="00F22990" w:rsidP="00F22990">
      <w:pPr>
        <w:contextualSpacing/>
        <w:jc w:val="both"/>
        <w:rPr>
          <w:sz w:val="22"/>
          <w:szCs w:val="22"/>
        </w:rPr>
      </w:pPr>
    </w:p>
    <w:p w:rsidR="00F22990" w:rsidRPr="00F22990" w:rsidRDefault="00F22990" w:rsidP="0085776F">
      <w:pPr>
        <w:ind w:firstLine="284"/>
        <w:contextualSpacing/>
        <w:jc w:val="both"/>
        <w:rPr>
          <w:sz w:val="22"/>
          <w:szCs w:val="22"/>
        </w:rPr>
      </w:pPr>
      <w:r w:rsidRPr="00F22990">
        <w:rPr>
          <w:sz w:val="22"/>
          <w:szCs w:val="22"/>
        </w:rPr>
        <w:t xml:space="preserve">This study employs three data analyses </w:t>
      </w:r>
      <w:r w:rsidRPr="00F22990">
        <w:rPr>
          <w:i/>
          <w:sz w:val="22"/>
          <w:szCs w:val="22"/>
        </w:rPr>
        <w:t>i.e.</w:t>
      </w:r>
      <w:r w:rsidRPr="00F22990">
        <w:rPr>
          <w:sz w:val="22"/>
          <w:szCs w:val="22"/>
        </w:rPr>
        <w:t xml:space="preserve"> descriptive, correlation and path. Descriptive analysis aims to describe research variables, while correlation one intends to identify the correlation among variables in the model. Correlation analysis portrays an association between two analyzed variables without any interference from the correlation of any other variables. Lastly, Path analysis is put into use when identifying both simultaneous and sequential causal relationships of several variables in the model (</w:t>
      </w:r>
      <w:proofErr w:type="spellStart"/>
      <w:r w:rsidRPr="00F22990">
        <w:rPr>
          <w:sz w:val="22"/>
          <w:szCs w:val="22"/>
        </w:rPr>
        <w:t>Yanto</w:t>
      </w:r>
      <w:proofErr w:type="spellEnd"/>
      <w:r w:rsidRPr="00F22990">
        <w:rPr>
          <w:sz w:val="22"/>
          <w:szCs w:val="22"/>
        </w:rPr>
        <w:t xml:space="preserve"> et al., 2016).</w:t>
      </w:r>
    </w:p>
    <w:p w:rsidR="00F22990" w:rsidRPr="00CB5FD4" w:rsidRDefault="00F22990" w:rsidP="003950C8">
      <w:pPr>
        <w:ind w:firstLine="284"/>
        <w:contextualSpacing/>
        <w:jc w:val="both"/>
        <w:rPr>
          <w:sz w:val="22"/>
          <w:szCs w:val="22"/>
        </w:rPr>
      </w:pPr>
      <w:r w:rsidRPr="00CB5FD4">
        <w:rPr>
          <w:sz w:val="22"/>
          <w:szCs w:val="22"/>
        </w:rPr>
        <w:t xml:space="preserve">To measure the fitness of the theoretical model, this study employs goodness of fit and normality tests. The latter is applied in each variable using kurtosis coefficient and </w:t>
      </w:r>
      <w:r w:rsidR="00195E88" w:rsidRPr="00CB5FD4">
        <w:rPr>
          <w:sz w:val="22"/>
          <w:szCs w:val="22"/>
        </w:rPr>
        <w:t>critical ratio (</w:t>
      </w:r>
      <w:proofErr w:type="spellStart"/>
      <w:r w:rsidRPr="00CB5FD4">
        <w:rPr>
          <w:sz w:val="22"/>
          <w:szCs w:val="22"/>
        </w:rPr>
        <w:t>c.r.</w:t>
      </w:r>
      <w:proofErr w:type="spellEnd"/>
      <w:r w:rsidR="00195E88" w:rsidRPr="00CB5FD4">
        <w:rPr>
          <w:sz w:val="22"/>
          <w:szCs w:val="22"/>
        </w:rPr>
        <w:t>)</w:t>
      </w:r>
      <w:r w:rsidRPr="00CB5FD4">
        <w:rPr>
          <w:sz w:val="22"/>
          <w:szCs w:val="22"/>
        </w:rPr>
        <w:t xml:space="preserve"> of multivariate analysis. </w:t>
      </w:r>
      <w:r w:rsidR="00E31315" w:rsidRPr="00CB5FD4">
        <w:rPr>
          <w:sz w:val="22"/>
          <w:szCs w:val="22"/>
        </w:rPr>
        <w:t>Byrne</w:t>
      </w:r>
      <w:r w:rsidRPr="00CB5FD4">
        <w:rPr>
          <w:noProof/>
          <w:sz w:val="22"/>
          <w:szCs w:val="22"/>
        </w:rPr>
        <w:t xml:space="preserve"> (20</w:t>
      </w:r>
      <w:r w:rsidR="00E31315" w:rsidRPr="00CB5FD4">
        <w:rPr>
          <w:noProof/>
          <w:sz w:val="22"/>
          <w:szCs w:val="22"/>
        </w:rPr>
        <w:t>09</w:t>
      </w:r>
      <w:r w:rsidRPr="00CB5FD4">
        <w:rPr>
          <w:noProof/>
          <w:sz w:val="22"/>
          <w:szCs w:val="22"/>
        </w:rPr>
        <w:t>)</w:t>
      </w:r>
      <w:r w:rsidRPr="00CB5FD4">
        <w:rPr>
          <w:sz w:val="22"/>
          <w:szCs w:val="22"/>
        </w:rPr>
        <w:t xml:space="preserve"> states that the threshold of a kurtosis coefficient shall not be more than 10.00, while that of multivariate </w:t>
      </w:r>
      <w:proofErr w:type="spellStart"/>
      <w:r w:rsidRPr="00CB5FD4">
        <w:rPr>
          <w:sz w:val="22"/>
          <w:szCs w:val="22"/>
        </w:rPr>
        <w:t>c.r.</w:t>
      </w:r>
      <w:proofErr w:type="spellEnd"/>
      <w:r w:rsidRPr="00CB5FD4">
        <w:rPr>
          <w:sz w:val="22"/>
          <w:szCs w:val="22"/>
        </w:rPr>
        <w:t xml:space="preserve"> should be 2.58 at the maximum. If this research does not meet normality requirement, it may do some checking on </w:t>
      </w:r>
      <w:proofErr w:type="spellStart"/>
      <w:r w:rsidRPr="00CB5FD4">
        <w:rPr>
          <w:sz w:val="22"/>
          <w:szCs w:val="22"/>
        </w:rPr>
        <w:t>Mahalanobis</w:t>
      </w:r>
      <w:proofErr w:type="spellEnd"/>
      <w:r w:rsidRPr="00CB5FD4">
        <w:rPr>
          <w:sz w:val="22"/>
          <w:szCs w:val="22"/>
        </w:rPr>
        <w:t xml:space="preserve"> distance </w:t>
      </w:r>
      <w:r w:rsidRPr="00CB5FD4">
        <w:rPr>
          <w:noProof/>
          <w:sz w:val="22"/>
          <w:szCs w:val="22"/>
        </w:rPr>
        <w:t>(</w:t>
      </w:r>
      <w:r w:rsidR="00A47782" w:rsidRPr="00CB5FD4">
        <w:rPr>
          <w:noProof/>
          <w:sz w:val="22"/>
          <w:szCs w:val="22"/>
        </w:rPr>
        <w:t>Byrne, 2009</w:t>
      </w:r>
      <w:r w:rsidRPr="00CB5FD4">
        <w:rPr>
          <w:noProof/>
          <w:sz w:val="22"/>
          <w:szCs w:val="22"/>
        </w:rPr>
        <w:t>)</w:t>
      </w:r>
      <w:r w:rsidRPr="00CB5FD4">
        <w:rPr>
          <w:sz w:val="22"/>
          <w:szCs w:val="22"/>
        </w:rPr>
        <w:t xml:space="preserve"> or do some bootstrapping technique as suggested by </w:t>
      </w:r>
      <w:proofErr w:type="spellStart"/>
      <w:r w:rsidR="00A47782" w:rsidRPr="00CB5FD4">
        <w:rPr>
          <w:sz w:val="22"/>
          <w:szCs w:val="22"/>
        </w:rPr>
        <w:t>Bollen</w:t>
      </w:r>
      <w:proofErr w:type="spellEnd"/>
      <w:r w:rsidR="00A47782" w:rsidRPr="00CB5FD4">
        <w:rPr>
          <w:sz w:val="22"/>
          <w:szCs w:val="22"/>
        </w:rPr>
        <w:t xml:space="preserve"> and Stine</w:t>
      </w:r>
      <w:r w:rsidRPr="00CB5FD4">
        <w:rPr>
          <w:noProof/>
          <w:sz w:val="22"/>
          <w:szCs w:val="22"/>
        </w:rPr>
        <w:t xml:space="preserve"> (</w:t>
      </w:r>
      <w:r w:rsidR="00A47782" w:rsidRPr="00CB5FD4">
        <w:rPr>
          <w:noProof/>
          <w:sz w:val="22"/>
          <w:szCs w:val="22"/>
        </w:rPr>
        <w:t>1992</w:t>
      </w:r>
      <w:r w:rsidRPr="00CB5FD4">
        <w:rPr>
          <w:noProof/>
          <w:sz w:val="22"/>
          <w:szCs w:val="22"/>
        </w:rPr>
        <w:t>)</w:t>
      </w:r>
      <w:r w:rsidRPr="00CB5FD4">
        <w:rPr>
          <w:sz w:val="22"/>
          <w:szCs w:val="22"/>
        </w:rPr>
        <w:t>.</w:t>
      </w:r>
    </w:p>
    <w:p w:rsidR="00330B2F" w:rsidRPr="00CB5FD4" w:rsidRDefault="00330B2F" w:rsidP="00330B2F">
      <w:pPr>
        <w:rPr>
          <w:b/>
          <w:sz w:val="22"/>
          <w:szCs w:val="22"/>
        </w:rPr>
      </w:pPr>
    </w:p>
    <w:p w:rsidR="00330B2F" w:rsidRDefault="00330B2F" w:rsidP="00330B2F">
      <w:pPr>
        <w:rPr>
          <w:b/>
          <w:sz w:val="22"/>
          <w:szCs w:val="22"/>
        </w:rPr>
      </w:pPr>
    </w:p>
    <w:p w:rsidR="00F22990" w:rsidRPr="00F22990" w:rsidRDefault="00F22990" w:rsidP="00330B2F">
      <w:pPr>
        <w:rPr>
          <w:b/>
          <w:sz w:val="22"/>
          <w:szCs w:val="22"/>
        </w:rPr>
      </w:pPr>
      <w:r w:rsidRPr="00F22990">
        <w:rPr>
          <w:b/>
          <w:sz w:val="22"/>
          <w:szCs w:val="22"/>
        </w:rPr>
        <w:t>RESULTS AND DISCUSSION</w:t>
      </w:r>
    </w:p>
    <w:p w:rsidR="00F22990" w:rsidRPr="00F22990" w:rsidRDefault="00F22990"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Descriptive Analysis</w:t>
      </w:r>
    </w:p>
    <w:p w:rsidR="00F22990" w:rsidRPr="00F22990" w:rsidRDefault="00F22990" w:rsidP="00F22990">
      <w:pPr>
        <w:contextualSpacing/>
        <w:jc w:val="both"/>
        <w:rPr>
          <w:sz w:val="22"/>
          <w:szCs w:val="22"/>
        </w:rPr>
      </w:pPr>
    </w:p>
    <w:p w:rsidR="00F22990" w:rsidRPr="00F22990" w:rsidRDefault="00F22990" w:rsidP="0085776F">
      <w:pPr>
        <w:ind w:firstLine="284"/>
        <w:contextualSpacing/>
        <w:jc w:val="both"/>
        <w:rPr>
          <w:sz w:val="22"/>
          <w:szCs w:val="22"/>
        </w:rPr>
      </w:pPr>
      <w:r w:rsidRPr="00F22990">
        <w:rPr>
          <w:sz w:val="22"/>
          <w:szCs w:val="22"/>
        </w:rPr>
        <w:t xml:space="preserve">Descriptive analysis shows that the average </w:t>
      </w:r>
      <w:proofErr w:type="spellStart"/>
      <w:r w:rsidRPr="00F22990">
        <w:rPr>
          <w:sz w:val="22"/>
          <w:szCs w:val="22"/>
        </w:rPr>
        <w:t>CED</w:t>
      </w:r>
      <w:proofErr w:type="spellEnd"/>
      <w:r w:rsidRPr="00F22990">
        <w:rPr>
          <w:sz w:val="22"/>
          <w:szCs w:val="22"/>
        </w:rPr>
        <w:t xml:space="preserve"> of manufacturing companies in Indonesia is around 0.24 with the highest score of 0.72. The lowest score is 0.11 and the value of standard deviation is 0.15. This also means that the average of </w:t>
      </w:r>
      <w:proofErr w:type="spellStart"/>
      <w:r w:rsidRPr="00F22990">
        <w:rPr>
          <w:sz w:val="22"/>
          <w:szCs w:val="22"/>
        </w:rPr>
        <w:t>CED</w:t>
      </w:r>
      <w:proofErr w:type="spellEnd"/>
      <w:r w:rsidRPr="00F22990">
        <w:rPr>
          <w:sz w:val="22"/>
          <w:szCs w:val="22"/>
        </w:rPr>
        <w:t xml:space="preserve"> is about 24% with the highest </w:t>
      </w:r>
      <w:proofErr w:type="spellStart"/>
      <w:r w:rsidRPr="00F22990">
        <w:rPr>
          <w:sz w:val="22"/>
          <w:szCs w:val="22"/>
        </w:rPr>
        <w:t>CED</w:t>
      </w:r>
      <w:proofErr w:type="spellEnd"/>
      <w:r w:rsidRPr="00F22990">
        <w:rPr>
          <w:sz w:val="22"/>
          <w:szCs w:val="22"/>
        </w:rPr>
        <w:t xml:space="preserve"> is 72%. This mean shows that </w:t>
      </w:r>
      <w:proofErr w:type="spellStart"/>
      <w:r w:rsidRPr="00F22990">
        <w:rPr>
          <w:sz w:val="22"/>
          <w:szCs w:val="22"/>
        </w:rPr>
        <w:t>CED</w:t>
      </w:r>
      <w:proofErr w:type="spellEnd"/>
      <w:r w:rsidRPr="00F22990">
        <w:rPr>
          <w:sz w:val="22"/>
          <w:szCs w:val="22"/>
        </w:rPr>
        <w:t xml:space="preserve"> among Indonesian manufacturing companies is still considered low. Moreover, most of them receive blue PROPER rating (75%), 18% red, 4.25% gold and 2.83% green. The analysis reveals that the average rating of the companies is 2.93 (nearly blue), with black as the lowest (score 1) and gold as the highest (score 5).  The following table provides the complete details.</w:t>
      </w:r>
    </w:p>
    <w:p w:rsidR="00F22990" w:rsidRPr="00F22990" w:rsidRDefault="00F22990" w:rsidP="00F22990">
      <w:pPr>
        <w:jc w:val="both"/>
        <w:rPr>
          <w:sz w:val="22"/>
          <w:szCs w:val="22"/>
        </w:rPr>
      </w:pPr>
    </w:p>
    <w:p w:rsidR="00CF5A9D" w:rsidRDefault="00F22990" w:rsidP="00CF5A9D">
      <w:pPr>
        <w:spacing w:after="120"/>
        <w:jc w:val="both"/>
        <w:rPr>
          <w:sz w:val="22"/>
          <w:szCs w:val="22"/>
        </w:rPr>
      </w:pPr>
      <w:r w:rsidRPr="00F22990">
        <w:rPr>
          <w:b/>
          <w:sz w:val="22"/>
          <w:szCs w:val="22"/>
        </w:rPr>
        <w:t>Table 1:</w:t>
      </w:r>
      <w:r w:rsidRPr="00F22990">
        <w:rPr>
          <w:sz w:val="22"/>
          <w:szCs w:val="22"/>
        </w:rPr>
        <w:t xml:space="preserve"> Summary of </w:t>
      </w:r>
      <w:r w:rsidR="003950C8">
        <w:rPr>
          <w:sz w:val="22"/>
          <w:szCs w:val="22"/>
        </w:rPr>
        <w:t>d</w:t>
      </w:r>
      <w:r w:rsidRPr="00F22990">
        <w:rPr>
          <w:sz w:val="22"/>
          <w:szCs w:val="22"/>
        </w:rPr>
        <w:t xml:space="preserve">escriptive </w:t>
      </w:r>
      <w:r w:rsidR="003950C8">
        <w:rPr>
          <w:sz w:val="22"/>
          <w:szCs w:val="22"/>
        </w:rPr>
        <w:t>a</w:t>
      </w:r>
      <w:r w:rsidRPr="00F22990">
        <w:rPr>
          <w:sz w:val="22"/>
          <w:szCs w:val="22"/>
        </w:rPr>
        <w:t>nalysis</w:t>
      </w:r>
    </w:p>
    <w:tbl>
      <w:tblPr>
        <w:tblW w:w="5000" w:type="pct"/>
        <w:tblCellMar>
          <w:left w:w="0" w:type="dxa"/>
          <w:right w:w="0" w:type="dxa"/>
        </w:tblCellMar>
        <w:tblLook w:val="04A0" w:firstRow="1" w:lastRow="0" w:firstColumn="1" w:lastColumn="0" w:noHBand="0" w:noVBand="1"/>
      </w:tblPr>
      <w:tblGrid>
        <w:gridCol w:w="1418"/>
        <w:gridCol w:w="1417"/>
        <w:gridCol w:w="1548"/>
        <w:gridCol w:w="1146"/>
        <w:gridCol w:w="1792"/>
      </w:tblGrid>
      <w:tr w:rsidR="00F22990" w:rsidRPr="00491834" w:rsidTr="00CB5FD4">
        <w:trPr>
          <w:trHeight w:val="101"/>
        </w:trPr>
        <w:tc>
          <w:tcPr>
            <w:tcW w:w="968" w:type="pct"/>
            <w:tcBorders>
              <w:top w:val="single" w:sz="4" w:space="0" w:color="auto"/>
              <w:left w:val="nil"/>
              <w:bottom w:val="single" w:sz="4" w:space="0" w:color="auto"/>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r w:rsidRPr="00491834">
              <w:rPr>
                <w:color w:val="000000"/>
                <w:sz w:val="20"/>
                <w:szCs w:val="20"/>
              </w:rPr>
              <w:t>Variable</w:t>
            </w:r>
          </w:p>
        </w:tc>
        <w:tc>
          <w:tcPr>
            <w:tcW w:w="96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CF5A9D">
            <w:pPr>
              <w:ind w:right="180"/>
              <w:jc w:val="center"/>
              <w:rPr>
                <w:color w:val="000000"/>
                <w:sz w:val="20"/>
                <w:szCs w:val="20"/>
              </w:rPr>
            </w:pPr>
            <w:r w:rsidRPr="00491834">
              <w:rPr>
                <w:color w:val="000000"/>
                <w:sz w:val="20"/>
                <w:szCs w:val="20"/>
              </w:rPr>
              <w:t>Minimum</w:t>
            </w:r>
          </w:p>
        </w:tc>
        <w:tc>
          <w:tcPr>
            <w:tcW w:w="10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CF5A9D">
            <w:pPr>
              <w:ind w:right="180"/>
              <w:jc w:val="center"/>
              <w:rPr>
                <w:color w:val="000000"/>
                <w:sz w:val="20"/>
                <w:szCs w:val="20"/>
              </w:rPr>
            </w:pPr>
            <w:r w:rsidRPr="00491834">
              <w:rPr>
                <w:color w:val="000000"/>
                <w:sz w:val="20"/>
                <w:szCs w:val="20"/>
              </w:rPr>
              <w:t>Maximum</w:t>
            </w:r>
          </w:p>
        </w:tc>
        <w:tc>
          <w:tcPr>
            <w:tcW w:w="78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CF5A9D">
            <w:pPr>
              <w:ind w:right="180"/>
              <w:jc w:val="center"/>
              <w:rPr>
                <w:color w:val="000000"/>
                <w:sz w:val="20"/>
                <w:szCs w:val="20"/>
              </w:rPr>
            </w:pPr>
            <w:r w:rsidRPr="00491834">
              <w:rPr>
                <w:color w:val="000000"/>
                <w:sz w:val="20"/>
                <w:szCs w:val="20"/>
              </w:rPr>
              <w:t>Mean</w:t>
            </w:r>
          </w:p>
        </w:tc>
        <w:tc>
          <w:tcPr>
            <w:tcW w:w="1224" w:type="pct"/>
            <w:tcBorders>
              <w:top w:val="single" w:sz="4" w:space="0" w:color="auto"/>
              <w:left w:val="single" w:sz="4" w:space="0" w:color="FFFFFF" w:themeColor="background1"/>
              <w:bottom w:val="single" w:sz="4" w:space="0" w:color="auto"/>
              <w:right w:val="nil"/>
            </w:tcBorders>
            <w:shd w:val="clear" w:color="auto" w:fill="auto"/>
            <w:hideMark/>
          </w:tcPr>
          <w:p w:rsidR="00CF5A9D" w:rsidRPr="00491834" w:rsidRDefault="00F22990" w:rsidP="00F317EB">
            <w:pPr>
              <w:ind w:right="180"/>
              <w:jc w:val="right"/>
              <w:rPr>
                <w:color w:val="000000"/>
                <w:sz w:val="20"/>
                <w:szCs w:val="20"/>
              </w:rPr>
            </w:pPr>
            <w:r w:rsidRPr="00491834">
              <w:rPr>
                <w:color w:val="000000"/>
                <w:sz w:val="20"/>
                <w:szCs w:val="20"/>
              </w:rPr>
              <w:t>Std. Deviation</w:t>
            </w:r>
          </w:p>
        </w:tc>
      </w:tr>
      <w:tr w:rsidR="00F22990" w:rsidRPr="00491834" w:rsidTr="00CB5FD4">
        <w:trPr>
          <w:trHeight w:val="60"/>
        </w:trPr>
        <w:tc>
          <w:tcPr>
            <w:tcW w:w="968" w:type="pct"/>
            <w:tcBorders>
              <w:top w:val="nil"/>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r w:rsidRPr="00491834">
              <w:rPr>
                <w:color w:val="000000"/>
                <w:sz w:val="20"/>
                <w:szCs w:val="20"/>
              </w:rPr>
              <w:t>Size</w:t>
            </w:r>
          </w:p>
        </w:tc>
        <w:tc>
          <w:tcPr>
            <w:tcW w:w="968"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4.84</w:t>
            </w:r>
          </w:p>
        </w:tc>
        <w:tc>
          <w:tcPr>
            <w:tcW w:w="1057"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19.34</w:t>
            </w:r>
          </w:p>
        </w:tc>
        <w:tc>
          <w:tcPr>
            <w:tcW w:w="78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13.98</w:t>
            </w:r>
          </w:p>
        </w:tc>
        <w:tc>
          <w:tcPr>
            <w:tcW w:w="1224" w:type="pct"/>
            <w:tcBorders>
              <w:top w:val="nil"/>
              <w:left w:val="single" w:sz="4" w:space="0" w:color="FFFFFF" w:themeColor="background1"/>
              <w:bottom w:val="single" w:sz="4" w:space="0" w:color="FFFFFF" w:themeColor="background1"/>
              <w:right w:val="nil"/>
            </w:tcBorders>
            <w:shd w:val="clear" w:color="auto" w:fill="auto"/>
            <w:noWrap/>
            <w:hideMark/>
          </w:tcPr>
          <w:p w:rsidR="00CF5A9D" w:rsidRPr="00491834" w:rsidRDefault="00F22990" w:rsidP="00F317EB">
            <w:pPr>
              <w:ind w:right="180"/>
              <w:jc w:val="right"/>
              <w:rPr>
                <w:color w:val="000000"/>
                <w:sz w:val="20"/>
                <w:szCs w:val="20"/>
              </w:rPr>
            </w:pPr>
            <w:r w:rsidRPr="00491834">
              <w:rPr>
                <w:color w:val="000000"/>
                <w:sz w:val="20"/>
                <w:szCs w:val="20"/>
              </w:rPr>
              <w:t>3.80</w:t>
            </w:r>
          </w:p>
        </w:tc>
      </w:tr>
      <w:tr w:rsidR="00F22990" w:rsidRPr="00491834" w:rsidTr="00CB5FD4">
        <w:trPr>
          <w:trHeight w:val="60"/>
        </w:trPr>
        <w:tc>
          <w:tcPr>
            <w:tcW w:w="96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proofErr w:type="spellStart"/>
            <w:r w:rsidRPr="00491834">
              <w:rPr>
                <w:color w:val="000000"/>
                <w:sz w:val="20"/>
                <w:szCs w:val="20"/>
              </w:rPr>
              <w:t>ROA</w:t>
            </w:r>
            <w:proofErr w:type="spellEnd"/>
          </w:p>
        </w:tc>
        <w:tc>
          <w:tcPr>
            <w:tcW w:w="9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-0.15</w:t>
            </w:r>
          </w:p>
        </w:tc>
        <w:tc>
          <w:tcPr>
            <w:tcW w:w="10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0.72</w:t>
            </w:r>
          </w:p>
        </w:tc>
        <w:tc>
          <w:tcPr>
            <w:tcW w:w="7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0.08</w:t>
            </w:r>
          </w:p>
        </w:tc>
        <w:tc>
          <w:tcPr>
            <w:tcW w:w="122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CF5A9D" w:rsidRPr="00491834" w:rsidRDefault="00F22990" w:rsidP="00F317EB">
            <w:pPr>
              <w:ind w:right="180"/>
              <w:jc w:val="right"/>
              <w:rPr>
                <w:color w:val="000000"/>
                <w:sz w:val="20"/>
                <w:szCs w:val="20"/>
              </w:rPr>
            </w:pPr>
            <w:r w:rsidRPr="00491834">
              <w:rPr>
                <w:color w:val="000000"/>
                <w:sz w:val="20"/>
                <w:szCs w:val="20"/>
              </w:rPr>
              <w:t>0.11</w:t>
            </w:r>
          </w:p>
        </w:tc>
      </w:tr>
      <w:tr w:rsidR="00F22990" w:rsidRPr="00491834" w:rsidTr="00491834">
        <w:trPr>
          <w:trHeight w:val="135"/>
        </w:trPr>
        <w:tc>
          <w:tcPr>
            <w:tcW w:w="96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r w:rsidRPr="00491834">
              <w:rPr>
                <w:color w:val="000000"/>
                <w:sz w:val="20"/>
                <w:szCs w:val="20"/>
              </w:rPr>
              <w:t>DAR</w:t>
            </w:r>
          </w:p>
        </w:tc>
        <w:tc>
          <w:tcPr>
            <w:tcW w:w="9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0.07</w:t>
            </w:r>
          </w:p>
        </w:tc>
        <w:tc>
          <w:tcPr>
            <w:tcW w:w="10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1.21</w:t>
            </w:r>
          </w:p>
        </w:tc>
        <w:tc>
          <w:tcPr>
            <w:tcW w:w="7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0.44</w:t>
            </w:r>
          </w:p>
        </w:tc>
        <w:tc>
          <w:tcPr>
            <w:tcW w:w="122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CF5A9D" w:rsidRPr="00491834" w:rsidRDefault="00F22990" w:rsidP="00F317EB">
            <w:pPr>
              <w:ind w:right="180"/>
              <w:jc w:val="right"/>
              <w:rPr>
                <w:color w:val="000000"/>
                <w:sz w:val="20"/>
                <w:szCs w:val="20"/>
              </w:rPr>
            </w:pPr>
            <w:r w:rsidRPr="00491834">
              <w:rPr>
                <w:color w:val="000000"/>
                <w:sz w:val="20"/>
                <w:szCs w:val="20"/>
              </w:rPr>
              <w:t>0.20</w:t>
            </w:r>
          </w:p>
        </w:tc>
      </w:tr>
      <w:tr w:rsidR="00F22990" w:rsidRPr="00491834" w:rsidTr="00CB5FD4">
        <w:trPr>
          <w:trHeight w:val="60"/>
        </w:trPr>
        <w:tc>
          <w:tcPr>
            <w:tcW w:w="96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r w:rsidRPr="00491834">
              <w:rPr>
                <w:color w:val="000000"/>
                <w:sz w:val="20"/>
                <w:szCs w:val="20"/>
              </w:rPr>
              <w:t>Board Size</w:t>
            </w:r>
          </w:p>
        </w:tc>
        <w:tc>
          <w:tcPr>
            <w:tcW w:w="9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2.00</w:t>
            </w:r>
          </w:p>
        </w:tc>
        <w:tc>
          <w:tcPr>
            <w:tcW w:w="10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12.00</w:t>
            </w:r>
          </w:p>
        </w:tc>
        <w:tc>
          <w:tcPr>
            <w:tcW w:w="7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4.90</w:t>
            </w:r>
          </w:p>
        </w:tc>
        <w:tc>
          <w:tcPr>
            <w:tcW w:w="122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CF5A9D" w:rsidRPr="00491834" w:rsidRDefault="00F22990" w:rsidP="00F317EB">
            <w:pPr>
              <w:ind w:right="180"/>
              <w:jc w:val="right"/>
              <w:rPr>
                <w:color w:val="000000"/>
                <w:sz w:val="20"/>
                <w:szCs w:val="20"/>
              </w:rPr>
            </w:pPr>
            <w:r w:rsidRPr="00491834">
              <w:rPr>
                <w:color w:val="000000"/>
                <w:sz w:val="20"/>
                <w:szCs w:val="20"/>
              </w:rPr>
              <w:t>2.06</w:t>
            </w:r>
          </w:p>
        </w:tc>
      </w:tr>
      <w:tr w:rsidR="00F22990" w:rsidRPr="00491834" w:rsidTr="00CB5FD4">
        <w:trPr>
          <w:trHeight w:val="60"/>
        </w:trPr>
        <w:tc>
          <w:tcPr>
            <w:tcW w:w="96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r w:rsidRPr="00491834">
              <w:rPr>
                <w:color w:val="000000"/>
                <w:sz w:val="20"/>
                <w:szCs w:val="20"/>
              </w:rPr>
              <w:t>Proper</w:t>
            </w:r>
          </w:p>
        </w:tc>
        <w:tc>
          <w:tcPr>
            <w:tcW w:w="9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2.00</w:t>
            </w:r>
          </w:p>
        </w:tc>
        <w:tc>
          <w:tcPr>
            <w:tcW w:w="10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5.00</w:t>
            </w:r>
          </w:p>
        </w:tc>
        <w:tc>
          <w:tcPr>
            <w:tcW w:w="7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2.93</w:t>
            </w:r>
          </w:p>
        </w:tc>
        <w:tc>
          <w:tcPr>
            <w:tcW w:w="122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CF5A9D" w:rsidRPr="00491834" w:rsidRDefault="00F22990" w:rsidP="00F317EB">
            <w:pPr>
              <w:ind w:right="180"/>
              <w:jc w:val="right"/>
              <w:rPr>
                <w:color w:val="000000"/>
                <w:sz w:val="20"/>
                <w:szCs w:val="20"/>
              </w:rPr>
            </w:pPr>
            <w:r w:rsidRPr="00491834">
              <w:rPr>
                <w:color w:val="000000"/>
                <w:sz w:val="20"/>
                <w:szCs w:val="20"/>
              </w:rPr>
              <w:t>0.61</w:t>
            </w:r>
          </w:p>
        </w:tc>
      </w:tr>
      <w:tr w:rsidR="00F22990" w:rsidRPr="00491834" w:rsidTr="00CB5FD4">
        <w:trPr>
          <w:trHeight w:val="60"/>
        </w:trPr>
        <w:tc>
          <w:tcPr>
            <w:tcW w:w="968" w:type="pct"/>
            <w:tcBorders>
              <w:top w:val="single" w:sz="4" w:space="0" w:color="FFFFFF" w:themeColor="background1"/>
              <w:left w:val="nil"/>
              <w:bottom w:val="single" w:sz="4" w:space="0" w:color="auto"/>
              <w:right w:val="single" w:sz="4" w:space="0" w:color="FFFFFF" w:themeColor="background1"/>
            </w:tcBorders>
            <w:shd w:val="clear" w:color="auto" w:fill="auto"/>
            <w:hideMark/>
          </w:tcPr>
          <w:p w:rsidR="00CF5A9D" w:rsidRPr="00491834" w:rsidRDefault="00F22990" w:rsidP="00CF5A9D">
            <w:pPr>
              <w:ind w:right="180"/>
              <w:rPr>
                <w:color w:val="000000"/>
                <w:sz w:val="20"/>
                <w:szCs w:val="20"/>
              </w:rPr>
            </w:pPr>
            <w:proofErr w:type="spellStart"/>
            <w:r w:rsidRPr="00491834">
              <w:rPr>
                <w:color w:val="000000"/>
                <w:sz w:val="20"/>
                <w:szCs w:val="20"/>
              </w:rPr>
              <w:t>CED</w:t>
            </w:r>
            <w:proofErr w:type="spellEnd"/>
          </w:p>
        </w:tc>
        <w:tc>
          <w:tcPr>
            <w:tcW w:w="9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0.11</w:t>
            </w:r>
          </w:p>
        </w:tc>
        <w:tc>
          <w:tcPr>
            <w:tcW w:w="105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0.72</w:t>
            </w:r>
          </w:p>
        </w:tc>
        <w:tc>
          <w:tcPr>
            <w:tcW w:w="7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rsidR="00CF5A9D" w:rsidRPr="00491834" w:rsidRDefault="00F22990" w:rsidP="00195E88">
            <w:pPr>
              <w:ind w:right="180"/>
              <w:jc w:val="center"/>
              <w:rPr>
                <w:color w:val="000000"/>
                <w:sz w:val="20"/>
                <w:szCs w:val="20"/>
              </w:rPr>
            </w:pPr>
            <w:r w:rsidRPr="00491834">
              <w:rPr>
                <w:color w:val="000000"/>
                <w:sz w:val="20"/>
                <w:szCs w:val="20"/>
              </w:rPr>
              <w:t>0.24</w:t>
            </w:r>
          </w:p>
        </w:tc>
        <w:tc>
          <w:tcPr>
            <w:tcW w:w="1224" w:type="pct"/>
            <w:tcBorders>
              <w:top w:val="single" w:sz="4" w:space="0" w:color="FFFFFF" w:themeColor="background1"/>
              <w:left w:val="single" w:sz="4" w:space="0" w:color="FFFFFF" w:themeColor="background1"/>
              <w:bottom w:val="single" w:sz="4" w:space="0" w:color="auto"/>
              <w:right w:val="nil"/>
            </w:tcBorders>
            <w:shd w:val="clear" w:color="auto" w:fill="auto"/>
            <w:noWrap/>
            <w:hideMark/>
          </w:tcPr>
          <w:p w:rsidR="00CF5A9D" w:rsidRPr="00491834" w:rsidRDefault="00F22990" w:rsidP="00F317EB">
            <w:pPr>
              <w:ind w:right="180"/>
              <w:jc w:val="right"/>
              <w:rPr>
                <w:color w:val="000000"/>
                <w:sz w:val="20"/>
                <w:szCs w:val="20"/>
              </w:rPr>
            </w:pPr>
            <w:r w:rsidRPr="00491834">
              <w:rPr>
                <w:color w:val="000000"/>
                <w:sz w:val="20"/>
                <w:szCs w:val="20"/>
              </w:rPr>
              <w:t>0.15</w:t>
            </w:r>
          </w:p>
        </w:tc>
      </w:tr>
    </w:tbl>
    <w:p w:rsidR="00491834" w:rsidRDefault="00491834"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Correlation Analysis</w:t>
      </w:r>
    </w:p>
    <w:p w:rsidR="00F22990" w:rsidRPr="00F22990" w:rsidRDefault="00F22990" w:rsidP="00F22990">
      <w:pPr>
        <w:contextualSpacing/>
        <w:jc w:val="both"/>
        <w:rPr>
          <w:sz w:val="22"/>
          <w:szCs w:val="22"/>
        </w:rPr>
      </w:pPr>
    </w:p>
    <w:p w:rsidR="00F22990" w:rsidRPr="00491834" w:rsidRDefault="00F22990" w:rsidP="003950C8">
      <w:pPr>
        <w:ind w:firstLine="284"/>
        <w:contextualSpacing/>
        <w:jc w:val="both"/>
        <w:rPr>
          <w:sz w:val="22"/>
          <w:szCs w:val="22"/>
        </w:rPr>
      </w:pPr>
      <w:proofErr w:type="spellStart"/>
      <w:r w:rsidRPr="00F22990">
        <w:rPr>
          <w:sz w:val="22"/>
          <w:szCs w:val="22"/>
        </w:rPr>
        <w:t>CED</w:t>
      </w:r>
      <w:proofErr w:type="spellEnd"/>
      <w:r w:rsidRPr="00F22990">
        <w:rPr>
          <w:sz w:val="22"/>
          <w:szCs w:val="22"/>
        </w:rPr>
        <w:t xml:space="preserve"> is closely related to three variables; PROPER (0.440, </w:t>
      </w:r>
      <w:r w:rsidRPr="00F22990">
        <w:rPr>
          <w:i/>
          <w:sz w:val="22"/>
          <w:szCs w:val="22"/>
        </w:rPr>
        <w:t>p</w:t>
      </w:r>
      <w:r w:rsidRPr="00F22990">
        <w:rPr>
          <w:sz w:val="22"/>
          <w:szCs w:val="22"/>
        </w:rPr>
        <w:t xml:space="preserve">&lt;0.01), Board Size (0.414, </w:t>
      </w:r>
      <w:r w:rsidRPr="00F22990">
        <w:rPr>
          <w:i/>
          <w:sz w:val="22"/>
          <w:szCs w:val="22"/>
        </w:rPr>
        <w:t>p</w:t>
      </w:r>
      <w:r w:rsidRPr="00F22990">
        <w:rPr>
          <w:sz w:val="22"/>
          <w:szCs w:val="22"/>
        </w:rPr>
        <w:t xml:space="preserve">&lt;0.01) and Company Size (0.326, </w:t>
      </w:r>
      <w:r w:rsidRPr="00F22990">
        <w:rPr>
          <w:i/>
          <w:sz w:val="22"/>
          <w:szCs w:val="22"/>
        </w:rPr>
        <w:t>p</w:t>
      </w:r>
      <w:r w:rsidRPr="00F22990">
        <w:rPr>
          <w:sz w:val="22"/>
          <w:szCs w:val="22"/>
        </w:rPr>
        <w:t xml:space="preserve">&lt;0.01). This analysis reveals that </w:t>
      </w:r>
      <w:proofErr w:type="spellStart"/>
      <w:r w:rsidRPr="00F22990">
        <w:rPr>
          <w:sz w:val="22"/>
          <w:szCs w:val="22"/>
        </w:rPr>
        <w:t>ROA</w:t>
      </w:r>
      <w:proofErr w:type="spellEnd"/>
      <w:r w:rsidRPr="00F22990">
        <w:rPr>
          <w:sz w:val="22"/>
          <w:szCs w:val="22"/>
        </w:rPr>
        <w:t xml:space="preserve"> </w:t>
      </w:r>
      <w:r w:rsidRPr="00F22990">
        <w:rPr>
          <w:sz w:val="22"/>
          <w:szCs w:val="22"/>
        </w:rPr>
        <w:lastRenderedPageBreak/>
        <w:t xml:space="preserve">has no correlation with </w:t>
      </w:r>
      <w:proofErr w:type="spellStart"/>
      <w:r w:rsidRPr="00F22990">
        <w:rPr>
          <w:sz w:val="22"/>
          <w:szCs w:val="22"/>
        </w:rPr>
        <w:t>CED</w:t>
      </w:r>
      <w:proofErr w:type="spellEnd"/>
      <w:r w:rsidRPr="00F22990">
        <w:rPr>
          <w:sz w:val="22"/>
          <w:szCs w:val="22"/>
        </w:rPr>
        <w:t xml:space="preserve"> (0.152, </w:t>
      </w:r>
      <w:r w:rsidRPr="00F22990">
        <w:rPr>
          <w:i/>
          <w:sz w:val="22"/>
          <w:szCs w:val="22"/>
        </w:rPr>
        <w:t>p</w:t>
      </w:r>
      <w:r w:rsidRPr="00F22990">
        <w:rPr>
          <w:sz w:val="22"/>
          <w:szCs w:val="22"/>
        </w:rPr>
        <w:t xml:space="preserve">&gt;0.05), nor does DER (-0.099, </w:t>
      </w:r>
      <w:r w:rsidRPr="00F22990">
        <w:rPr>
          <w:i/>
          <w:sz w:val="22"/>
          <w:szCs w:val="22"/>
        </w:rPr>
        <w:t>p</w:t>
      </w:r>
      <w:r w:rsidRPr="00F22990">
        <w:rPr>
          <w:sz w:val="22"/>
          <w:szCs w:val="22"/>
        </w:rPr>
        <w:t xml:space="preserve">&gt;0.05). However, </w:t>
      </w:r>
      <w:proofErr w:type="spellStart"/>
      <w:r w:rsidRPr="00F22990">
        <w:rPr>
          <w:sz w:val="22"/>
          <w:szCs w:val="22"/>
        </w:rPr>
        <w:t>ROA</w:t>
      </w:r>
      <w:proofErr w:type="spellEnd"/>
      <w:r w:rsidRPr="00F22990">
        <w:rPr>
          <w:sz w:val="22"/>
          <w:szCs w:val="22"/>
        </w:rPr>
        <w:t xml:space="preserve"> significantly correlates with PROPER (0.214, </w:t>
      </w:r>
      <w:r w:rsidRPr="00F22990">
        <w:rPr>
          <w:i/>
          <w:sz w:val="22"/>
          <w:szCs w:val="22"/>
        </w:rPr>
        <w:t>p</w:t>
      </w:r>
      <w:r w:rsidRPr="00F22990">
        <w:rPr>
          <w:sz w:val="22"/>
          <w:szCs w:val="22"/>
        </w:rPr>
        <w:t xml:space="preserve">&lt; 0.01) and Company Size (0.205, </w:t>
      </w:r>
      <w:r w:rsidRPr="00F22990">
        <w:rPr>
          <w:i/>
          <w:sz w:val="22"/>
          <w:szCs w:val="22"/>
        </w:rPr>
        <w:t>p</w:t>
      </w:r>
      <w:r w:rsidRPr="00F22990">
        <w:rPr>
          <w:sz w:val="22"/>
          <w:szCs w:val="22"/>
        </w:rPr>
        <w:t xml:space="preserve">&lt;0.05). PROPER have significant correlation with </w:t>
      </w:r>
      <w:proofErr w:type="spellStart"/>
      <w:r w:rsidRPr="00F22990">
        <w:rPr>
          <w:sz w:val="22"/>
          <w:szCs w:val="22"/>
        </w:rPr>
        <w:t>ROA</w:t>
      </w:r>
      <w:proofErr w:type="spellEnd"/>
      <w:r w:rsidRPr="00F22990">
        <w:rPr>
          <w:sz w:val="22"/>
          <w:szCs w:val="22"/>
        </w:rPr>
        <w:t xml:space="preserve"> (0.214, </w:t>
      </w:r>
      <w:r w:rsidRPr="00F22990">
        <w:rPr>
          <w:i/>
          <w:sz w:val="22"/>
          <w:szCs w:val="22"/>
        </w:rPr>
        <w:t>p</w:t>
      </w:r>
      <w:r w:rsidRPr="00F22990">
        <w:rPr>
          <w:sz w:val="22"/>
          <w:szCs w:val="22"/>
        </w:rPr>
        <w:t xml:space="preserve">&lt;0.01) and Board Size (0.245, </w:t>
      </w:r>
      <w:r w:rsidRPr="00F22990">
        <w:rPr>
          <w:i/>
          <w:sz w:val="22"/>
          <w:szCs w:val="22"/>
        </w:rPr>
        <w:t>p</w:t>
      </w:r>
      <w:r w:rsidRPr="00F22990">
        <w:rPr>
          <w:sz w:val="22"/>
          <w:szCs w:val="22"/>
        </w:rPr>
        <w:t xml:space="preserve">&lt;0.01), yet Size and DAR does not </w:t>
      </w:r>
      <w:r w:rsidRPr="00491834">
        <w:rPr>
          <w:sz w:val="22"/>
          <w:szCs w:val="22"/>
        </w:rPr>
        <w:t xml:space="preserve">correlate with PROPER. The interesting issue from this analysis is that DAR does not correlate with other variables of in the model. For more information, Table </w:t>
      </w:r>
      <w:r w:rsidR="007C7E21" w:rsidRPr="00491834">
        <w:rPr>
          <w:sz w:val="22"/>
          <w:szCs w:val="22"/>
        </w:rPr>
        <w:t>2</w:t>
      </w:r>
      <w:r w:rsidRPr="00491834">
        <w:rPr>
          <w:sz w:val="22"/>
          <w:szCs w:val="22"/>
        </w:rPr>
        <w:t xml:space="preserve"> displays the correlation matrix of variables in this study.</w:t>
      </w:r>
    </w:p>
    <w:p w:rsidR="00F22990" w:rsidRPr="00F22990" w:rsidRDefault="00F22990" w:rsidP="00F22990">
      <w:pPr>
        <w:jc w:val="both"/>
        <w:rPr>
          <w:sz w:val="22"/>
          <w:szCs w:val="22"/>
        </w:rPr>
      </w:pPr>
    </w:p>
    <w:p w:rsidR="00CF5A9D" w:rsidRDefault="00F22990" w:rsidP="00CF5A9D">
      <w:pPr>
        <w:spacing w:after="120"/>
        <w:jc w:val="both"/>
        <w:rPr>
          <w:sz w:val="22"/>
          <w:szCs w:val="22"/>
        </w:rPr>
      </w:pPr>
      <w:r w:rsidRPr="00F22990">
        <w:rPr>
          <w:b/>
          <w:sz w:val="22"/>
          <w:szCs w:val="22"/>
        </w:rPr>
        <w:t>Table 2:</w:t>
      </w:r>
      <w:r w:rsidRPr="00F22990">
        <w:rPr>
          <w:sz w:val="22"/>
          <w:szCs w:val="22"/>
        </w:rPr>
        <w:t xml:space="preserve"> Correlation </w:t>
      </w:r>
      <w:r w:rsidR="003950C8">
        <w:rPr>
          <w:sz w:val="22"/>
          <w:szCs w:val="22"/>
        </w:rPr>
        <w:t>m</w:t>
      </w:r>
      <w:r w:rsidRPr="00F22990">
        <w:rPr>
          <w:sz w:val="22"/>
          <w:szCs w:val="22"/>
        </w:rPr>
        <w:t>atrix</w:t>
      </w:r>
    </w:p>
    <w:tbl>
      <w:tblPr>
        <w:tblW w:w="5000" w:type="pct"/>
        <w:tblCellMar>
          <w:left w:w="0" w:type="dxa"/>
          <w:right w:w="0" w:type="dxa"/>
        </w:tblCellMar>
        <w:tblLook w:val="04A0" w:firstRow="1" w:lastRow="0" w:firstColumn="1" w:lastColumn="0" w:noHBand="0" w:noVBand="1"/>
      </w:tblPr>
      <w:tblGrid>
        <w:gridCol w:w="1601"/>
        <w:gridCol w:w="1033"/>
        <w:gridCol w:w="953"/>
        <w:gridCol w:w="953"/>
        <w:gridCol w:w="1271"/>
        <w:gridCol w:w="795"/>
        <w:gridCol w:w="715"/>
      </w:tblGrid>
      <w:tr w:rsidR="00F22990" w:rsidRPr="00491834" w:rsidTr="00491834">
        <w:trPr>
          <w:trHeight w:val="70"/>
        </w:trPr>
        <w:tc>
          <w:tcPr>
            <w:tcW w:w="1093" w:type="pct"/>
            <w:tcBorders>
              <w:top w:val="single" w:sz="4" w:space="0" w:color="auto"/>
              <w:left w:val="nil"/>
              <w:bottom w:val="single" w:sz="4" w:space="0" w:color="auto"/>
              <w:right w:val="single" w:sz="4" w:space="0" w:color="FFFFFF" w:themeColor="background1"/>
            </w:tcBorders>
            <w:shd w:val="clear" w:color="auto" w:fill="auto"/>
            <w:noWrap/>
            <w:hideMark/>
          </w:tcPr>
          <w:p w:rsidR="00CF5A9D" w:rsidRPr="00491834" w:rsidRDefault="00F22990" w:rsidP="00CF5A9D">
            <w:pPr>
              <w:rPr>
                <w:color w:val="000000"/>
                <w:sz w:val="20"/>
                <w:szCs w:val="20"/>
              </w:rPr>
            </w:pPr>
            <w:r w:rsidRPr="00491834">
              <w:rPr>
                <w:color w:val="000000"/>
                <w:sz w:val="20"/>
                <w:szCs w:val="20"/>
              </w:rPr>
              <w:t>Variable</w:t>
            </w:r>
          </w:p>
        </w:tc>
        <w:tc>
          <w:tcPr>
            <w:tcW w:w="70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8626BF">
            <w:pPr>
              <w:rPr>
                <w:color w:val="000000"/>
                <w:sz w:val="20"/>
                <w:szCs w:val="20"/>
              </w:rPr>
            </w:pPr>
            <w:r w:rsidRPr="00491834">
              <w:rPr>
                <w:color w:val="000000"/>
                <w:sz w:val="20"/>
                <w:szCs w:val="20"/>
              </w:rPr>
              <w:t>Size</w:t>
            </w:r>
          </w:p>
        </w:tc>
        <w:tc>
          <w:tcPr>
            <w:tcW w:w="6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8626BF">
            <w:pPr>
              <w:rPr>
                <w:color w:val="000000"/>
                <w:sz w:val="20"/>
                <w:szCs w:val="20"/>
              </w:rPr>
            </w:pPr>
            <w:proofErr w:type="spellStart"/>
            <w:r w:rsidRPr="00491834">
              <w:rPr>
                <w:color w:val="000000"/>
                <w:sz w:val="20"/>
                <w:szCs w:val="20"/>
              </w:rPr>
              <w:t>ROA</w:t>
            </w:r>
            <w:proofErr w:type="spellEnd"/>
          </w:p>
        </w:tc>
        <w:tc>
          <w:tcPr>
            <w:tcW w:w="6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8626BF">
            <w:pPr>
              <w:rPr>
                <w:color w:val="000000"/>
                <w:sz w:val="20"/>
                <w:szCs w:val="20"/>
              </w:rPr>
            </w:pPr>
            <w:r w:rsidRPr="00491834">
              <w:rPr>
                <w:color w:val="000000"/>
                <w:sz w:val="20"/>
                <w:szCs w:val="20"/>
              </w:rPr>
              <w:t>DAR</w:t>
            </w:r>
          </w:p>
        </w:tc>
        <w:tc>
          <w:tcPr>
            <w:tcW w:w="86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8626BF">
            <w:pPr>
              <w:rPr>
                <w:color w:val="000000"/>
                <w:sz w:val="20"/>
                <w:szCs w:val="20"/>
              </w:rPr>
            </w:pPr>
            <w:r w:rsidRPr="00491834">
              <w:rPr>
                <w:color w:val="000000"/>
                <w:sz w:val="20"/>
                <w:szCs w:val="20"/>
              </w:rPr>
              <w:t>Board Size</w:t>
            </w:r>
          </w:p>
        </w:tc>
        <w:tc>
          <w:tcPr>
            <w:tcW w:w="54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CF5A9D" w:rsidRPr="00491834" w:rsidRDefault="00F22990" w:rsidP="008626BF">
            <w:pPr>
              <w:rPr>
                <w:color w:val="000000"/>
                <w:sz w:val="20"/>
                <w:szCs w:val="20"/>
              </w:rPr>
            </w:pPr>
            <w:r w:rsidRPr="00491834">
              <w:rPr>
                <w:color w:val="000000"/>
                <w:sz w:val="20"/>
                <w:szCs w:val="20"/>
              </w:rPr>
              <w:t>Proper</w:t>
            </w:r>
          </w:p>
        </w:tc>
        <w:tc>
          <w:tcPr>
            <w:tcW w:w="488" w:type="pct"/>
            <w:tcBorders>
              <w:top w:val="single" w:sz="4" w:space="0" w:color="auto"/>
              <w:left w:val="single" w:sz="4" w:space="0" w:color="FFFFFF" w:themeColor="background1"/>
              <w:bottom w:val="single" w:sz="4" w:space="0" w:color="auto"/>
              <w:right w:val="nil"/>
            </w:tcBorders>
            <w:shd w:val="clear" w:color="auto" w:fill="auto"/>
          </w:tcPr>
          <w:p w:rsidR="00CF5A9D" w:rsidRPr="00491834" w:rsidRDefault="00F22990" w:rsidP="008626BF">
            <w:pPr>
              <w:rPr>
                <w:color w:val="000000"/>
                <w:sz w:val="20"/>
                <w:szCs w:val="20"/>
              </w:rPr>
            </w:pPr>
            <w:proofErr w:type="spellStart"/>
            <w:r w:rsidRPr="00491834">
              <w:rPr>
                <w:color w:val="000000"/>
                <w:sz w:val="20"/>
                <w:szCs w:val="20"/>
              </w:rPr>
              <w:t>CED</w:t>
            </w:r>
            <w:proofErr w:type="spellEnd"/>
          </w:p>
        </w:tc>
      </w:tr>
      <w:tr w:rsidR="00F22990" w:rsidRPr="00491834" w:rsidTr="00491834">
        <w:trPr>
          <w:trHeight w:val="233"/>
        </w:trPr>
        <w:tc>
          <w:tcPr>
            <w:tcW w:w="1093" w:type="pct"/>
            <w:tcBorders>
              <w:top w:val="nil"/>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rPr>
                <w:color w:val="000000"/>
                <w:sz w:val="20"/>
                <w:szCs w:val="20"/>
              </w:rPr>
            </w:pPr>
            <w:r w:rsidRPr="00491834">
              <w:rPr>
                <w:color w:val="000000"/>
                <w:sz w:val="20"/>
                <w:szCs w:val="20"/>
              </w:rPr>
              <w:t>Size</w:t>
            </w:r>
          </w:p>
        </w:tc>
        <w:tc>
          <w:tcPr>
            <w:tcW w:w="705"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1</w:t>
            </w:r>
          </w:p>
        </w:tc>
        <w:tc>
          <w:tcPr>
            <w:tcW w:w="65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65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868"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54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488" w:type="pct"/>
            <w:tcBorders>
              <w:top w:val="nil"/>
              <w:left w:val="single" w:sz="4" w:space="0" w:color="FFFFFF" w:themeColor="background1"/>
              <w:bottom w:val="single" w:sz="4" w:space="0" w:color="FFFFFF" w:themeColor="background1"/>
              <w:right w:val="nil"/>
            </w:tcBorders>
          </w:tcPr>
          <w:p w:rsidR="00CF5A9D" w:rsidRPr="00491834" w:rsidRDefault="00CF5A9D" w:rsidP="008626BF">
            <w:pPr>
              <w:rPr>
                <w:color w:val="000000"/>
                <w:sz w:val="20"/>
                <w:szCs w:val="20"/>
              </w:rPr>
            </w:pPr>
          </w:p>
        </w:tc>
      </w:tr>
      <w:tr w:rsidR="00F22990" w:rsidRPr="00491834" w:rsidTr="00491834">
        <w:trPr>
          <w:trHeight w:val="233"/>
        </w:trPr>
        <w:tc>
          <w:tcPr>
            <w:tcW w:w="1093"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rPr>
                <w:color w:val="000000"/>
                <w:sz w:val="20"/>
                <w:szCs w:val="20"/>
              </w:rPr>
            </w:pPr>
            <w:proofErr w:type="spellStart"/>
            <w:r w:rsidRPr="00491834">
              <w:rPr>
                <w:color w:val="000000"/>
                <w:sz w:val="20"/>
                <w:szCs w:val="20"/>
              </w:rPr>
              <w:t>ROA</w:t>
            </w:r>
            <w:proofErr w:type="spellEnd"/>
          </w:p>
        </w:tc>
        <w:tc>
          <w:tcPr>
            <w:tcW w:w="7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.205</w:t>
            </w:r>
            <w:r w:rsidRPr="00491834">
              <w:rPr>
                <w:color w:val="000000"/>
                <w:sz w:val="20"/>
                <w:szCs w:val="20"/>
                <w:vertAlign w:val="superscript"/>
              </w:rPr>
              <w:t>*</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1</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5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488" w:type="pct"/>
            <w:tcBorders>
              <w:top w:val="single" w:sz="4" w:space="0" w:color="FFFFFF" w:themeColor="background1"/>
              <w:left w:val="single" w:sz="4" w:space="0" w:color="FFFFFF" w:themeColor="background1"/>
              <w:bottom w:val="single" w:sz="4" w:space="0" w:color="FFFFFF" w:themeColor="background1"/>
              <w:right w:val="nil"/>
            </w:tcBorders>
          </w:tcPr>
          <w:p w:rsidR="00CF5A9D" w:rsidRPr="00491834" w:rsidRDefault="00CF5A9D" w:rsidP="008626BF">
            <w:pPr>
              <w:rPr>
                <w:color w:val="000000"/>
                <w:sz w:val="20"/>
                <w:szCs w:val="20"/>
              </w:rPr>
            </w:pPr>
          </w:p>
        </w:tc>
      </w:tr>
      <w:tr w:rsidR="00F22990" w:rsidRPr="00491834" w:rsidTr="00491834">
        <w:trPr>
          <w:trHeight w:val="225"/>
        </w:trPr>
        <w:tc>
          <w:tcPr>
            <w:tcW w:w="1093"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rPr>
                <w:color w:val="000000"/>
                <w:sz w:val="20"/>
                <w:szCs w:val="20"/>
              </w:rPr>
            </w:pPr>
            <w:r w:rsidRPr="00491834">
              <w:rPr>
                <w:color w:val="000000"/>
                <w:sz w:val="20"/>
                <w:szCs w:val="20"/>
              </w:rPr>
              <w:t>DAR</w:t>
            </w:r>
          </w:p>
        </w:tc>
        <w:tc>
          <w:tcPr>
            <w:tcW w:w="7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0.119</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0.042</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1</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5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488" w:type="pct"/>
            <w:tcBorders>
              <w:top w:val="single" w:sz="4" w:space="0" w:color="FFFFFF" w:themeColor="background1"/>
              <w:left w:val="single" w:sz="4" w:space="0" w:color="FFFFFF" w:themeColor="background1"/>
              <w:bottom w:val="single" w:sz="4" w:space="0" w:color="FFFFFF" w:themeColor="background1"/>
              <w:right w:val="nil"/>
            </w:tcBorders>
          </w:tcPr>
          <w:p w:rsidR="00CF5A9D" w:rsidRPr="00491834" w:rsidRDefault="00CF5A9D" w:rsidP="008626BF">
            <w:pPr>
              <w:rPr>
                <w:color w:val="000000"/>
                <w:sz w:val="20"/>
                <w:szCs w:val="20"/>
              </w:rPr>
            </w:pPr>
          </w:p>
        </w:tc>
      </w:tr>
      <w:tr w:rsidR="00F22990" w:rsidRPr="00491834" w:rsidTr="00491834">
        <w:trPr>
          <w:trHeight w:val="216"/>
        </w:trPr>
        <w:tc>
          <w:tcPr>
            <w:tcW w:w="1093"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rPr>
                <w:color w:val="000000"/>
                <w:sz w:val="20"/>
                <w:szCs w:val="20"/>
              </w:rPr>
            </w:pPr>
            <w:r w:rsidRPr="00491834">
              <w:rPr>
                <w:color w:val="000000"/>
                <w:sz w:val="20"/>
                <w:szCs w:val="20"/>
              </w:rPr>
              <w:t>Board Size</w:t>
            </w:r>
          </w:p>
        </w:tc>
        <w:tc>
          <w:tcPr>
            <w:tcW w:w="7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.424</w:t>
            </w:r>
            <w:r w:rsidRPr="00491834">
              <w:rPr>
                <w:color w:val="000000"/>
                <w:sz w:val="20"/>
                <w:szCs w:val="20"/>
                <w:vertAlign w:val="superscript"/>
              </w:rPr>
              <w:t>**</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-0.012</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-0.024</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1</w:t>
            </w:r>
          </w:p>
        </w:tc>
        <w:tc>
          <w:tcPr>
            <w:tcW w:w="5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p>
        </w:tc>
        <w:tc>
          <w:tcPr>
            <w:tcW w:w="488" w:type="pct"/>
            <w:tcBorders>
              <w:top w:val="single" w:sz="4" w:space="0" w:color="FFFFFF" w:themeColor="background1"/>
              <w:left w:val="single" w:sz="4" w:space="0" w:color="FFFFFF" w:themeColor="background1"/>
              <w:bottom w:val="single" w:sz="4" w:space="0" w:color="FFFFFF" w:themeColor="background1"/>
              <w:right w:val="nil"/>
            </w:tcBorders>
          </w:tcPr>
          <w:p w:rsidR="00CF5A9D" w:rsidRPr="00491834" w:rsidRDefault="00CF5A9D" w:rsidP="008626BF">
            <w:pPr>
              <w:rPr>
                <w:color w:val="000000"/>
                <w:sz w:val="20"/>
                <w:szCs w:val="20"/>
              </w:rPr>
            </w:pPr>
          </w:p>
        </w:tc>
      </w:tr>
      <w:tr w:rsidR="00F22990" w:rsidRPr="00491834" w:rsidTr="00491834">
        <w:trPr>
          <w:trHeight w:val="251"/>
        </w:trPr>
        <w:tc>
          <w:tcPr>
            <w:tcW w:w="1093"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CF5A9D" w:rsidRPr="00491834" w:rsidRDefault="00F22990" w:rsidP="00CF5A9D">
            <w:pPr>
              <w:rPr>
                <w:color w:val="000000"/>
                <w:sz w:val="20"/>
                <w:szCs w:val="20"/>
              </w:rPr>
            </w:pPr>
            <w:r w:rsidRPr="00491834">
              <w:rPr>
                <w:color w:val="000000"/>
                <w:sz w:val="20"/>
                <w:szCs w:val="20"/>
              </w:rPr>
              <w:t>Proper</w:t>
            </w:r>
          </w:p>
        </w:tc>
        <w:tc>
          <w:tcPr>
            <w:tcW w:w="7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0.138</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.214</w:t>
            </w:r>
            <w:r w:rsidRPr="00491834">
              <w:rPr>
                <w:color w:val="000000"/>
                <w:sz w:val="20"/>
                <w:szCs w:val="20"/>
                <w:vertAlign w:val="superscript"/>
              </w:rPr>
              <w:t>**</w:t>
            </w:r>
          </w:p>
        </w:tc>
        <w:tc>
          <w:tcPr>
            <w:tcW w:w="6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0.004</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.245</w:t>
            </w:r>
            <w:r w:rsidRPr="00491834">
              <w:rPr>
                <w:color w:val="000000"/>
                <w:sz w:val="20"/>
                <w:szCs w:val="20"/>
                <w:vertAlign w:val="superscript"/>
              </w:rPr>
              <w:t>**</w:t>
            </w:r>
          </w:p>
        </w:tc>
        <w:tc>
          <w:tcPr>
            <w:tcW w:w="5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1</w:t>
            </w:r>
          </w:p>
        </w:tc>
        <w:tc>
          <w:tcPr>
            <w:tcW w:w="488" w:type="pct"/>
            <w:tcBorders>
              <w:top w:val="single" w:sz="4" w:space="0" w:color="FFFFFF" w:themeColor="background1"/>
              <w:left w:val="single" w:sz="4" w:space="0" w:color="FFFFFF" w:themeColor="background1"/>
              <w:bottom w:val="single" w:sz="4" w:space="0" w:color="FFFFFF" w:themeColor="background1"/>
              <w:right w:val="nil"/>
            </w:tcBorders>
          </w:tcPr>
          <w:p w:rsidR="00CF5A9D" w:rsidRPr="00491834" w:rsidRDefault="00CF5A9D" w:rsidP="008626BF">
            <w:pPr>
              <w:rPr>
                <w:color w:val="000000"/>
                <w:sz w:val="20"/>
                <w:szCs w:val="20"/>
              </w:rPr>
            </w:pPr>
          </w:p>
        </w:tc>
      </w:tr>
      <w:tr w:rsidR="00F22990" w:rsidRPr="00491834" w:rsidTr="00491834">
        <w:trPr>
          <w:trHeight w:val="261"/>
        </w:trPr>
        <w:tc>
          <w:tcPr>
            <w:tcW w:w="1093" w:type="pct"/>
            <w:tcBorders>
              <w:top w:val="single" w:sz="4" w:space="0" w:color="FFFFFF" w:themeColor="background1"/>
              <w:left w:val="nil"/>
              <w:bottom w:val="single" w:sz="4" w:space="0" w:color="auto"/>
              <w:right w:val="single" w:sz="4" w:space="0" w:color="FFFFFF" w:themeColor="background1"/>
            </w:tcBorders>
            <w:shd w:val="clear" w:color="auto" w:fill="auto"/>
            <w:hideMark/>
          </w:tcPr>
          <w:p w:rsidR="00CF5A9D" w:rsidRPr="00491834" w:rsidRDefault="00F22990" w:rsidP="00CF5A9D">
            <w:pPr>
              <w:rPr>
                <w:color w:val="000000"/>
                <w:sz w:val="20"/>
                <w:szCs w:val="20"/>
              </w:rPr>
            </w:pPr>
            <w:proofErr w:type="spellStart"/>
            <w:r w:rsidRPr="00491834">
              <w:rPr>
                <w:color w:val="000000"/>
                <w:sz w:val="20"/>
                <w:szCs w:val="20"/>
              </w:rPr>
              <w:t>CED</w:t>
            </w:r>
            <w:proofErr w:type="spellEnd"/>
          </w:p>
        </w:tc>
        <w:tc>
          <w:tcPr>
            <w:tcW w:w="70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.326</w:t>
            </w:r>
            <w:r w:rsidRPr="00491834">
              <w:rPr>
                <w:color w:val="000000"/>
                <w:sz w:val="20"/>
                <w:szCs w:val="20"/>
                <w:vertAlign w:val="superscript"/>
              </w:rPr>
              <w:t>**</w:t>
            </w:r>
          </w:p>
        </w:tc>
        <w:tc>
          <w:tcPr>
            <w:tcW w:w="65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0.152</w:t>
            </w:r>
          </w:p>
        </w:tc>
        <w:tc>
          <w:tcPr>
            <w:tcW w:w="65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-0.099</w:t>
            </w:r>
          </w:p>
        </w:tc>
        <w:tc>
          <w:tcPr>
            <w:tcW w:w="8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.414</w:t>
            </w:r>
            <w:r w:rsidRPr="00491834">
              <w:rPr>
                <w:color w:val="000000"/>
                <w:sz w:val="20"/>
                <w:szCs w:val="20"/>
                <w:vertAlign w:val="superscript"/>
              </w:rPr>
              <w:t>**</w:t>
            </w:r>
          </w:p>
        </w:tc>
        <w:tc>
          <w:tcPr>
            <w:tcW w:w="54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F22990" w:rsidRPr="00491834" w:rsidRDefault="00F22990" w:rsidP="008626BF">
            <w:pPr>
              <w:rPr>
                <w:color w:val="000000"/>
                <w:sz w:val="20"/>
                <w:szCs w:val="20"/>
              </w:rPr>
            </w:pPr>
            <w:r w:rsidRPr="00491834">
              <w:rPr>
                <w:color w:val="000000"/>
                <w:sz w:val="20"/>
                <w:szCs w:val="20"/>
              </w:rPr>
              <w:t>.440</w:t>
            </w:r>
            <w:r w:rsidRPr="00491834">
              <w:rPr>
                <w:color w:val="000000"/>
                <w:sz w:val="20"/>
                <w:szCs w:val="20"/>
                <w:vertAlign w:val="superscript"/>
              </w:rPr>
              <w:t>**</w:t>
            </w:r>
          </w:p>
        </w:tc>
        <w:tc>
          <w:tcPr>
            <w:tcW w:w="488" w:type="pct"/>
            <w:tcBorders>
              <w:top w:val="single" w:sz="4" w:space="0" w:color="FFFFFF" w:themeColor="background1"/>
              <w:left w:val="single" w:sz="4" w:space="0" w:color="FFFFFF" w:themeColor="background1"/>
              <w:bottom w:val="single" w:sz="4" w:space="0" w:color="auto"/>
              <w:right w:val="nil"/>
            </w:tcBorders>
          </w:tcPr>
          <w:p w:rsidR="00CF5A9D" w:rsidRPr="00491834" w:rsidRDefault="00F22990" w:rsidP="008626BF">
            <w:pPr>
              <w:rPr>
                <w:color w:val="000000"/>
                <w:sz w:val="20"/>
                <w:szCs w:val="20"/>
              </w:rPr>
            </w:pPr>
            <w:r w:rsidRPr="00491834">
              <w:rPr>
                <w:color w:val="000000"/>
                <w:sz w:val="20"/>
                <w:szCs w:val="20"/>
              </w:rPr>
              <w:t>1</w:t>
            </w:r>
          </w:p>
        </w:tc>
      </w:tr>
    </w:tbl>
    <w:p w:rsidR="00330B2F" w:rsidRDefault="00330B2F"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Path Analysis</w:t>
      </w:r>
    </w:p>
    <w:p w:rsidR="00F22990" w:rsidRPr="00F22990" w:rsidRDefault="00F22990" w:rsidP="00F22990">
      <w:pPr>
        <w:contextualSpacing/>
        <w:jc w:val="both"/>
        <w:rPr>
          <w:sz w:val="22"/>
          <w:szCs w:val="22"/>
        </w:rPr>
      </w:pPr>
    </w:p>
    <w:p w:rsidR="00F22990" w:rsidRPr="00F22990" w:rsidRDefault="00F22990" w:rsidP="003950C8">
      <w:pPr>
        <w:ind w:firstLine="284"/>
        <w:contextualSpacing/>
        <w:jc w:val="both"/>
        <w:rPr>
          <w:sz w:val="22"/>
          <w:szCs w:val="22"/>
        </w:rPr>
      </w:pPr>
      <w:r w:rsidRPr="00F22990">
        <w:rPr>
          <w:sz w:val="22"/>
          <w:szCs w:val="22"/>
        </w:rPr>
        <w:t xml:space="preserve">Path analysis shows that </w:t>
      </w:r>
      <w:proofErr w:type="spellStart"/>
      <w:r w:rsidRPr="00F22990">
        <w:rPr>
          <w:sz w:val="22"/>
          <w:szCs w:val="22"/>
        </w:rPr>
        <w:t>CED</w:t>
      </w:r>
      <w:proofErr w:type="spellEnd"/>
      <w:r w:rsidRPr="00F22990">
        <w:rPr>
          <w:sz w:val="22"/>
          <w:szCs w:val="22"/>
        </w:rPr>
        <w:t xml:space="preserve"> is significantly affected by two variables; PROPER and Board Size with beta coefficients of 0.342 (</w:t>
      </w:r>
      <w:r w:rsidRPr="00F22990">
        <w:rPr>
          <w:i/>
          <w:sz w:val="22"/>
          <w:szCs w:val="22"/>
        </w:rPr>
        <w:t>p</w:t>
      </w:r>
      <w:r w:rsidRPr="00F22990">
        <w:rPr>
          <w:sz w:val="22"/>
          <w:szCs w:val="22"/>
        </w:rPr>
        <w:t>&lt;0.001) and 0.328 (</w:t>
      </w:r>
      <w:r w:rsidRPr="00F22990">
        <w:rPr>
          <w:i/>
          <w:sz w:val="22"/>
          <w:szCs w:val="22"/>
        </w:rPr>
        <w:t>p</w:t>
      </w:r>
      <w:r w:rsidRPr="00F22990">
        <w:rPr>
          <w:sz w:val="22"/>
          <w:szCs w:val="22"/>
        </w:rPr>
        <w:t xml:space="preserve">&lt;0.001) respectively. Both </w:t>
      </w:r>
      <w:proofErr w:type="spellStart"/>
      <w:r w:rsidRPr="00F22990">
        <w:rPr>
          <w:sz w:val="22"/>
          <w:szCs w:val="22"/>
        </w:rPr>
        <w:t>ROA</w:t>
      </w:r>
      <w:proofErr w:type="spellEnd"/>
      <w:r w:rsidRPr="00F22990">
        <w:rPr>
          <w:sz w:val="22"/>
          <w:szCs w:val="22"/>
        </w:rPr>
        <w:t xml:space="preserve"> and DAR </w:t>
      </w:r>
      <w:proofErr w:type="gramStart"/>
      <w:r w:rsidRPr="00F22990">
        <w:rPr>
          <w:sz w:val="22"/>
          <w:szCs w:val="22"/>
        </w:rPr>
        <w:t>does</w:t>
      </w:r>
      <w:proofErr w:type="gramEnd"/>
      <w:r w:rsidRPr="00F22990">
        <w:rPr>
          <w:sz w:val="22"/>
          <w:szCs w:val="22"/>
        </w:rPr>
        <w:t xml:space="preserve"> not affect </w:t>
      </w:r>
      <w:proofErr w:type="spellStart"/>
      <w:r w:rsidRPr="00F22990">
        <w:rPr>
          <w:sz w:val="22"/>
          <w:szCs w:val="22"/>
        </w:rPr>
        <w:t>CED</w:t>
      </w:r>
      <w:proofErr w:type="spellEnd"/>
      <w:r w:rsidRPr="00F22990">
        <w:rPr>
          <w:sz w:val="22"/>
          <w:szCs w:val="22"/>
        </w:rPr>
        <w:t xml:space="preserve"> with coefficients of estimate respectively 0.087 (</w:t>
      </w:r>
      <w:r w:rsidRPr="00F22990">
        <w:rPr>
          <w:i/>
          <w:sz w:val="22"/>
          <w:szCs w:val="22"/>
        </w:rPr>
        <w:t>p</w:t>
      </w:r>
      <w:r w:rsidRPr="00F22990">
        <w:rPr>
          <w:sz w:val="22"/>
          <w:szCs w:val="22"/>
        </w:rPr>
        <w:t>=0.224) and -0.096 (</w:t>
      </w:r>
      <w:r w:rsidRPr="00F22990">
        <w:rPr>
          <w:i/>
          <w:sz w:val="22"/>
          <w:szCs w:val="22"/>
        </w:rPr>
        <w:t>p</w:t>
      </w:r>
      <w:r w:rsidRPr="00F22990">
        <w:rPr>
          <w:sz w:val="22"/>
          <w:szCs w:val="22"/>
        </w:rPr>
        <w:t xml:space="preserve">=0.168). As a significant intervening variable in this study, PROPER is affected by both </w:t>
      </w:r>
      <w:proofErr w:type="spellStart"/>
      <w:r w:rsidRPr="00F22990">
        <w:rPr>
          <w:sz w:val="22"/>
          <w:szCs w:val="22"/>
        </w:rPr>
        <w:t>ROA</w:t>
      </w:r>
      <w:proofErr w:type="spellEnd"/>
      <w:r w:rsidRPr="00F22990">
        <w:rPr>
          <w:sz w:val="22"/>
          <w:szCs w:val="22"/>
        </w:rPr>
        <w:t xml:space="preserve"> (0.219, </w:t>
      </w:r>
      <w:r w:rsidRPr="00F22990">
        <w:rPr>
          <w:i/>
          <w:sz w:val="22"/>
          <w:szCs w:val="22"/>
        </w:rPr>
        <w:t>p</w:t>
      </w:r>
      <w:r w:rsidRPr="00F22990">
        <w:rPr>
          <w:sz w:val="22"/>
          <w:szCs w:val="22"/>
        </w:rPr>
        <w:t xml:space="preserve">=0.006) and Board Size (0.253, </w:t>
      </w:r>
      <w:r w:rsidRPr="00F22990">
        <w:rPr>
          <w:i/>
          <w:sz w:val="22"/>
          <w:szCs w:val="22"/>
        </w:rPr>
        <w:t>p</w:t>
      </w:r>
      <w:r w:rsidRPr="00F22990">
        <w:rPr>
          <w:sz w:val="22"/>
          <w:szCs w:val="22"/>
        </w:rPr>
        <w:t>=0.004).  DAR and Company Size (Ln Size) do not significantly affect PROPER with beta coefficient respectively 0.002 (</w:t>
      </w:r>
      <w:r w:rsidRPr="00F22990">
        <w:rPr>
          <w:i/>
          <w:sz w:val="22"/>
          <w:szCs w:val="22"/>
        </w:rPr>
        <w:t>p</w:t>
      </w:r>
      <w:r w:rsidRPr="00F22990">
        <w:rPr>
          <w:sz w:val="22"/>
          <w:szCs w:val="22"/>
        </w:rPr>
        <w:t>=0.976) and -0,015 (</w:t>
      </w:r>
      <w:r w:rsidRPr="00F22990">
        <w:rPr>
          <w:i/>
          <w:sz w:val="22"/>
          <w:szCs w:val="22"/>
        </w:rPr>
        <w:t>p</w:t>
      </w:r>
      <w:r w:rsidRPr="00F22990">
        <w:rPr>
          <w:sz w:val="22"/>
          <w:szCs w:val="22"/>
        </w:rPr>
        <w:t xml:space="preserve">=0.868). Company Size as the exogenous variable significantly </w:t>
      </w:r>
      <w:r w:rsidRPr="001E645C">
        <w:rPr>
          <w:sz w:val="22"/>
          <w:szCs w:val="22"/>
        </w:rPr>
        <w:t>affect</w:t>
      </w:r>
      <w:r w:rsidR="00B76D4A" w:rsidRPr="001E645C">
        <w:rPr>
          <w:sz w:val="22"/>
          <w:szCs w:val="22"/>
        </w:rPr>
        <w:t>s</w:t>
      </w:r>
      <w:r w:rsidRPr="00F22990">
        <w:rPr>
          <w:sz w:val="22"/>
          <w:szCs w:val="22"/>
        </w:rPr>
        <w:t xml:space="preserve"> Board Size (0.424, </w:t>
      </w:r>
      <w:r w:rsidRPr="00F22990">
        <w:rPr>
          <w:i/>
          <w:sz w:val="22"/>
          <w:szCs w:val="22"/>
        </w:rPr>
        <w:t>p</w:t>
      </w:r>
      <w:r w:rsidRPr="00F22990">
        <w:rPr>
          <w:sz w:val="22"/>
          <w:szCs w:val="22"/>
        </w:rPr>
        <w:t xml:space="preserve">&lt;0.001) and </w:t>
      </w:r>
      <w:proofErr w:type="spellStart"/>
      <w:r w:rsidRPr="00F22990">
        <w:rPr>
          <w:sz w:val="22"/>
          <w:szCs w:val="22"/>
        </w:rPr>
        <w:t>ROA</w:t>
      </w:r>
      <w:proofErr w:type="spellEnd"/>
      <w:r w:rsidRPr="00F22990">
        <w:rPr>
          <w:sz w:val="22"/>
          <w:szCs w:val="22"/>
        </w:rPr>
        <w:t xml:space="preserve"> with standardized estimate of 0.205 (</w:t>
      </w:r>
      <w:r w:rsidRPr="00F22990">
        <w:rPr>
          <w:i/>
          <w:sz w:val="22"/>
          <w:szCs w:val="22"/>
        </w:rPr>
        <w:t>p</w:t>
      </w:r>
      <w:r w:rsidRPr="00F22990">
        <w:rPr>
          <w:sz w:val="22"/>
          <w:szCs w:val="22"/>
        </w:rPr>
        <w:t>=0.012). However, Company Size does not affect DAR with beta coefficient of 0.119 (</w:t>
      </w:r>
      <w:r w:rsidRPr="00F22990">
        <w:rPr>
          <w:i/>
          <w:sz w:val="22"/>
          <w:szCs w:val="22"/>
        </w:rPr>
        <w:t>p=</w:t>
      </w:r>
      <w:r w:rsidRPr="00F22990">
        <w:rPr>
          <w:sz w:val="22"/>
          <w:szCs w:val="22"/>
        </w:rPr>
        <w:t>0.151). Table 3 displays more detailed data.</w:t>
      </w:r>
    </w:p>
    <w:p w:rsidR="00F22990" w:rsidRPr="00F22990" w:rsidRDefault="00F22990" w:rsidP="00F22990">
      <w:pPr>
        <w:rPr>
          <w:sz w:val="22"/>
          <w:szCs w:val="22"/>
        </w:rPr>
      </w:pPr>
    </w:p>
    <w:p w:rsidR="00491834" w:rsidRPr="00491834" w:rsidRDefault="00F22990" w:rsidP="00491834">
      <w:pPr>
        <w:spacing w:after="120"/>
        <w:rPr>
          <w:sz w:val="22"/>
          <w:szCs w:val="22"/>
        </w:rPr>
      </w:pPr>
      <w:r w:rsidRPr="00CB5FD4">
        <w:rPr>
          <w:b/>
          <w:bCs/>
          <w:sz w:val="22"/>
          <w:szCs w:val="22"/>
        </w:rPr>
        <w:t>Table 3:</w:t>
      </w:r>
      <w:r w:rsidRPr="00491834">
        <w:rPr>
          <w:sz w:val="22"/>
          <w:szCs w:val="22"/>
        </w:rPr>
        <w:t xml:space="preserve"> Results of </w:t>
      </w:r>
      <w:r w:rsidR="003950C8" w:rsidRPr="00491834">
        <w:rPr>
          <w:sz w:val="22"/>
          <w:szCs w:val="22"/>
        </w:rPr>
        <w:t>p</w:t>
      </w:r>
      <w:r w:rsidRPr="00491834">
        <w:rPr>
          <w:sz w:val="22"/>
          <w:szCs w:val="22"/>
        </w:rPr>
        <w:t xml:space="preserve">ath </w:t>
      </w:r>
      <w:r w:rsidR="003950C8" w:rsidRPr="00491834">
        <w:rPr>
          <w:sz w:val="22"/>
          <w:szCs w:val="22"/>
        </w:rPr>
        <w:t>a</w:t>
      </w:r>
      <w:r w:rsidRPr="00491834">
        <w:rPr>
          <w:sz w:val="22"/>
          <w:szCs w:val="22"/>
        </w:rPr>
        <w:t>nalysis</w:t>
      </w:r>
    </w:p>
    <w:tbl>
      <w:tblPr>
        <w:tblW w:w="5000" w:type="pct"/>
        <w:tblCellMar>
          <w:left w:w="0" w:type="dxa"/>
          <w:right w:w="0" w:type="dxa"/>
        </w:tblCellMar>
        <w:tblLook w:val="04A0" w:firstRow="1" w:lastRow="0" w:firstColumn="1" w:lastColumn="0" w:noHBand="0" w:noVBand="1"/>
      </w:tblPr>
      <w:tblGrid>
        <w:gridCol w:w="1346"/>
        <w:gridCol w:w="1155"/>
        <w:gridCol w:w="523"/>
        <w:gridCol w:w="1133"/>
        <w:gridCol w:w="1114"/>
        <w:gridCol w:w="1007"/>
        <w:gridCol w:w="1043"/>
      </w:tblGrid>
      <w:tr w:rsidR="00F22990" w:rsidRPr="00491834" w:rsidTr="00491834">
        <w:trPr>
          <w:trHeight w:val="176"/>
        </w:trPr>
        <w:tc>
          <w:tcPr>
            <w:tcW w:w="919" w:type="pct"/>
            <w:tcBorders>
              <w:top w:val="single" w:sz="4" w:space="0" w:color="auto"/>
              <w:left w:val="nil"/>
              <w:bottom w:val="single" w:sz="4" w:space="0" w:color="auto"/>
              <w:right w:val="single" w:sz="4" w:space="0" w:color="FFFFFF" w:themeColor="background1"/>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Hypothesis</w:t>
            </w:r>
          </w:p>
        </w:tc>
        <w:tc>
          <w:tcPr>
            <w:tcW w:w="1920" w:type="pct"/>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Variable</w:t>
            </w:r>
          </w:p>
        </w:tc>
        <w:tc>
          <w:tcPr>
            <w:tcW w:w="76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Estimate</w:t>
            </w:r>
          </w:p>
        </w:tc>
        <w:tc>
          <w:tcPr>
            <w:tcW w:w="6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hideMark/>
          </w:tcPr>
          <w:p w:rsidR="00F22990" w:rsidRPr="00CB5FD4" w:rsidRDefault="00CB5FD4" w:rsidP="00491834">
            <w:pPr>
              <w:rPr>
                <w:color w:val="000000"/>
                <w:sz w:val="20"/>
                <w:szCs w:val="20"/>
              </w:rPr>
            </w:pPr>
            <w:r w:rsidRPr="00CB5FD4">
              <w:rPr>
                <w:color w:val="000000"/>
                <w:sz w:val="20"/>
                <w:szCs w:val="20"/>
              </w:rPr>
              <w:t>p</w:t>
            </w:r>
            <w:r>
              <w:rPr>
                <w:color w:val="000000"/>
                <w:sz w:val="20"/>
                <w:szCs w:val="20"/>
              </w:rPr>
              <w:t>-value</w:t>
            </w:r>
          </w:p>
        </w:tc>
        <w:tc>
          <w:tcPr>
            <w:tcW w:w="713" w:type="pct"/>
            <w:tcBorders>
              <w:top w:val="single" w:sz="4" w:space="0" w:color="auto"/>
              <w:left w:val="single" w:sz="4" w:space="0" w:color="FFFFFF" w:themeColor="background1"/>
              <w:bottom w:val="single" w:sz="4" w:space="0" w:color="auto"/>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Remark</w:t>
            </w:r>
          </w:p>
        </w:tc>
      </w:tr>
      <w:tr w:rsidR="00F22990" w:rsidRPr="00491834" w:rsidTr="00491834">
        <w:trPr>
          <w:trHeight w:val="233"/>
        </w:trPr>
        <w:tc>
          <w:tcPr>
            <w:tcW w:w="919" w:type="pct"/>
            <w:tcBorders>
              <w:top w:val="nil"/>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1</w:t>
            </w:r>
            <w:proofErr w:type="spellEnd"/>
          </w:p>
        </w:tc>
        <w:tc>
          <w:tcPr>
            <w:tcW w:w="789" w:type="pct"/>
            <w:tcBorders>
              <w:top w:val="nil"/>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CED</w:t>
            </w:r>
            <w:proofErr w:type="spellEnd"/>
          </w:p>
        </w:tc>
        <w:tc>
          <w:tcPr>
            <w:tcW w:w="357" w:type="pct"/>
            <w:tcBorders>
              <w:top w:val="nil"/>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nil"/>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Proper</w:t>
            </w:r>
          </w:p>
        </w:tc>
        <w:tc>
          <w:tcPr>
            <w:tcW w:w="76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0.342</w:t>
            </w:r>
          </w:p>
        </w:tc>
        <w:tc>
          <w:tcPr>
            <w:tcW w:w="688"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w:t>
            </w:r>
          </w:p>
        </w:tc>
        <w:tc>
          <w:tcPr>
            <w:tcW w:w="713" w:type="pct"/>
            <w:tcBorders>
              <w:top w:val="nil"/>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60"/>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2</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r w:rsidRPr="00491834">
              <w:rPr>
                <w:color w:val="000000"/>
                <w:sz w:val="20"/>
                <w:szCs w:val="20"/>
              </w:rPr>
              <w:t>Proper</w:t>
            </w:r>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BoardSize</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0.253</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0.004</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60"/>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3</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CED</w:t>
            </w:r>
            <w:proofErr w:type="spellEnd"/>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BoardSize</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0.328</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69"/>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4</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r w:rsidRPr="00491834">
              <w:rPr>
                <w:color w:val="000000"/>
                <w:sz w:val="20"/>
                <w:szCs w:val="20"/>
              </w:rPr>
              <w:t>Proper</w:t>
            </w:r>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ROA</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0.219</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0.006</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51"/>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5</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CED</w:t>
            </w:r>
            <w:proofErr w:type="spellEnd"/>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ROA</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0.087</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0.224</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60"/>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6</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CED</w:t>
            </w:r>
            <w:proofErr w:type="spellEnd"/>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DAR</w:t>
            </w:r>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-0.096</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0.168</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Rejected</w:t>
            </w:r>
          </w:p>
        </w:tc>
      </w:tr>
      <w:tr w:rsidR="00F22990" w:rsidRPr="00491834" w:rsidTr="00491834">
        <w:trPr>
          <w:trHeight w:val="269"/>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7</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r w:rsidRPr="00491834">
              <w:rPr>
                <w:color w:val="000000"/>
                <w:sz w:val="20"/>
                <w:szCs w:val="20"/>
              </w:rPr>
              <w:t>Proper</w:t>
            </w:r>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DAR</w:t>
            </w:r>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0.002</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0.976</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60"/>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8</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BoardSize</w:t>
            </w:r>
            <w:proofErr w:type="spellEnd"/>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LnSize</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0.424</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51"/>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9</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ROA</w:t>
            </w:r>
            <w:proofErr w:type="spellEnd"/>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LnSize</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0.205</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0.012</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Accepted</w:t>
            </w:r>
          </w:p>
        </w:tc>
      </w:tr>
      <w:tr w:rsidR="00F22990" w:rsidRPr="00491834" w:rsidTr="00491834">
        <w:trPr>
          <w:trHeight w:val="260"/>
        </w:trPr>
        <w:tc>
          <w:tcPr>
            <w:tcW w:w="919"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10</w:t>
            </w:r>
            <w:proofErr w:type="spellEnd"/>
          </w:p>
        </w:tc>
        <w:tc>
          <w:tcPr>
            <w:tcW w:w="789"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hideMark/>
          </w:tcPr>
          <w:p w:rsidR="00F22990" w:rsidRPr="00491834" w:rsidRDefault="00F22990" w:rsidP="00491834">
            <w:pPr>
              <w:rPr>
                <w:color w:val="000000"/>
                <w:sz w:val="20"/>
                <w:szCs w:val="20"/>
              </w:rPr>
            </w:pPr>
            <w:r w:rsidRPr="00491834">
              <w:rPr>
                <w:color w:val="000000"/>
                <w:sz w:val="20"/>
                <w:szCs w:val="20"/>
              </w:rPr>
              <w:t>DAR</w:t>
            </w:r>
          </w:p>
        </w:tc>
        <w:tc>
          <w:tcPr>
            <w:tcW w:w="357"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LnSize</w:t>
            </w:r>
            <w:proofErr w:type="spellEnd"/>
          </w:p>
        </w:tc>
        <w:tc>
          <w:tcPr>
            <w:tcW w:w="7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0.119</w:t>
            </w:r>
          </w:p>
        </w:tc>
        <w:tc>
          <w:tcPr>
            <w:tcW w:w="6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0.151</w:t>
            </w:r>
          </w:p>
        </w:tc>
        <w:tc>
          <w:tcPr>
            <w:tcW w:w="71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Rejected</w:t>
            </w:r>
          </w:p>
        </w:tc>
      </w:tr>
      <w:tr w:rsidR="00F22990" w:rsidRPr="00491834" w:rsidTr="00491834">
        <w:trPr>
          <w:trHeight w:val="269"/>
        </w:trPr>
        <w:tc>
          <w:tcPr>
            <w:tcW w:w="919" w:type="pct"/>
            <w:tcBorders>
              <w:top w:val="single" w:sz="4" w:space="0" w:color="FFFFFF" w:themeColor="background1"/>
              <w:left w:val="nil"/>
              <w:bottom w:val="single" w:sz="4" w:space="0" w:color="auto"/>
              <w:right w:val="single" w:sz="4" w:space="0" w:color="FFFFFF" w:themeColor="background1"/>
            </w:tcBorders>
            <w:shd w:val="clear" w:color="auto" w:fill="auto"/>
            <w:noWrap/>
            <w:hideMark/>
          </w:tcPr>
          <w:p w:rsidR="00F22990" w:rsidRPr="00491834" w:rsidRDefault="00F22990" w:rsidP="00491834">
            <w:pPr>
              <w:rPr>
                <w:color w:val="000000"/>
                <w:sz w:val="20"/>
                <w:szCs w:val="20"/>
              </w:rPr>
            </w:pPr>
            <w:proofErr w:type="spellStart"/>
            <w:r w:rsidRPr="00491834">
              <w:rPr>
                <w:color w:val="000000"/>
                <w:sz w:val="20"/>
                <w:szCs w:val="20"/>
              </w:rPr>
              <w:t>H</w:t>
            </w:r>
            <w:r w:rsidRPr="00491834">
              <w:rPr>
                <w:color w:val="000000"/>
                <w:sz w:val="20"/>
                <w:szCs w:val="20"/>
                <w:vertAlign w:val="subscript"/>
              </w:rPr>
              <w:t>11</w:t>
            </w:r>
            <w:proofErr w:type="spellEnd"/>
          </w:p>
        </w:tc>
        <w:tc>
          <w:tcPr>
            <w:tcW w:w="789" w:type="pct"/>
            <w:tcBorders>
              <w:top w:val="single" w:sz="4" w:space="0" w:color="FFFFFF" w:themeColor="background1"/>
              <w:left w:val="single" w:sz="4" w:space="0" w:color="FFFFFF" w:themeColor="background1"/>
              <w:bottom w:val="single" w:sz="4" w:space="0" w:color="auto"/>
              <w:right w:val="nil"/>
            </w:tcBorders>
            <w:shd w:val="clear" w:color="auto" w:fill="auto"/>
            <w:hideMark/>
          </w:tcPr>
          <w:p w:rsidR="00F22990" w:rsidRPr="00491834" w:rsidRDefault="00F22990" w:rsidP="00491834">
            <w:pPr>
              <w:rPr>
                <w:color w:val="000000"/>
                <w:sz w:val="20"/>
                <w:szCs w:val="20"/>
              </w:rPr>
            </w:pPr>
            <w:r w:rsidRPr="00491834">
              <w:rPr>
                <w:color w:val="000000"/>
                <w:sz w:val="20"/>
                <w:szCs w:val="20"/>
              </w:rPr>
              <w:t>Proper</w:t>
            </w:r>
          </w:p>
        </w:tc>
        <w:tc>
          <w:tcPr>
            <w:tcW w:w="357" w:type="pct"/>
            <w:tcBorders>
              <w:top w:val="single" w:sz="4" w:space="0" w:color="FFFFFF" w:themeColor="background1"/>
              <w:left w:val="nil"/>
              <w:bottom w:val="single" w:sz="4" w:space="0" w:color="auto"/>
              <w:right w:val="nil"/>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&lt;---</w:t>
            </w:r>
          </w:p>
        </w:tc>
        <w:tc>
          <w:tcPr>
            <w:tcW w:w="774" w:type="pct"/>
            <w:tcBorders>
              <w:top w:val="single" w:sz="4" w:space="0" w:color="FFFFFF" w:themeColor="background1"/>
              <w:left w:val="nil"/>
              <w:bottom w:val="single" w:sz="4" w:space="0" w:color="auto"/>
              <w:right w:val="single" w:sz="4" w:space="0" w:color="FFFFFF" w:themeColor="background1"/>
            </w:tcBorders>
            <w:shd w:val="clear" w:color="auto" w:fill="auto"/>
            <w:hideMark/>
          </w:tcPr>
          <w:p w:rsidR="00F22990" w:rsidRPr="00491834" w:rsidRDefault="00F22990" w:rsidP="00491834">
            <w:pPr>
              <w:rPr>
                <w:color w:val="000000"/>
                <w:sz w:val="20"/>
                <w:szCs w:val="20"/>
              </w:rPr>
            </w:pPr>
            <w:proofErr w:type="spellStart"/>
            <w:r w:rsidRPr="00491834">
              <w:rPr>
                <w:color w:val="000000"/>
                <w:sz w:val="20"/>
                <w:szCs w:val="20"/>
              </w:rPr>
              <w:t>LnSize</w:t>
            </w:r>
            <w:proofErr w:type="spellEnd"/>
          </w:p>
        </w:tc>
        <w:tc>
          <w:tcPr>
            <w:tcW w:w="76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hideMark/>
          </w:tcPr>
          <w:p w:rsidR="00F22990" w:rsidRPr="00491834" w:rsidRDefault="00F22990" w:rsidP="00491834">
            <w:pPr>
              <w:rPr>
                <w:color w:val="000000"/>
                <w:sz w:val="20"/>
                <w:szCs w:val="20"/>
              </w:rPr>
            </w:pPr>
            <w:r w:rsidRPr="00491834">
              <w:rPr>
                <w:color w:val="000000"/>
                <w:sz w:val="20"/>
                <w:szCs w:val="20"/>
              </w:rPr>
              <w:t>-0.015</w:t>
            </w:r>
          </w:p>
        </w:tc>
        <w:tc>
          <w:tcPr>
            <w:tcW w:w="68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hideMark/>
          </w:tcPr>
          <w:p w:rsidR="00F22990" w:rsidRPr="00491834" w:rsidRDefault="00F22990" w:rsidP="00491834">
            <w:pPr>
              <w:rPr>
                <w:color w:val="000000"/>
                <w:sz w:val="20"/>
                <w:szCs w:val="20"/>
              </w:rPr>
            </w:pPr>
            <w:r w:rsidRPr="00491834">
              <w:rPr>
                <w:color w:val="000000"/>
                <w:sz w:val="20"/>
                <w:szCs w:val="20"/>
              </w:rPr>
              <w:t>0.868</w:t>
            </w:r>
          </w:p>
        </w:tc>
        <w:tc>
          <w:tcPr>
            <w:tcW w:w="713" w:type="pct"/>
            <w:tcBorders>
              <w:top w:val="single" w:sz="4" w:space="0" w:color="FFFFFF" w:themeColor="background1"/>
              <w:left w:val="single" w:sz="4" w:space="0" w:color="FFFFFF" w:themeColor="background1"/>
              <w:bottom w:val="single" w:sz="4" w:space="0" w:color="auto"/>
              <w:right w:val="nil"/>
            </w:tcBorders>
            <w:shd w:val="clear" w:color="auto" w:fill="auto"/>
            <w:noWrap/>
            <w:hideMark/>
          </w:tcPr>
          <w:p w:rsidR="00F22990" w:rsidRPr="00491834" w:rsidRDefault="00F22990" w:rsidP="00491834">
            <w:pPr>
              <w:jc w:val="right"/>
              <w:rPr>
                <w:color w:val="000000"/>
                <w:sz w:val="20"/>
                <w:szCs w:val="20"/>
              </w:rPr>
            </w:pPr>
            <w:r w:rsidRPr="00491834">
              <w:rPr>
                <w:color w:val="000000"/>
                <w:sz w:val="20"/>
                <w:szCs w:val="20"/>
              </w:rPr>
              <w:t>Rejected</w:t>
            </w:r>
          </w:p>
        </w:tc>
      </w:tr>
    </w:tbl>
    <w:p w:rsidR="00F22990" w:rsidRPr="00491834" w:rsidRDefault="00491834" w:rsidP="00491834">
      <w:pPr>
        <w:tabs>
          <w:tab w:val="left" w:pos="8010"/>
        </w:tabs>
        <w:spacing w:before="60"/>
        <w:jc w:val="both"/>
        <w:rPr>
          <w:sz w:val="18"/>
          <w:szCs w:val="18"/>
        </w:rPr>
      </w:pPr>
      <w:r w:rsidRPr="00491834">
        <w:rPr>
          <w:sz w:val="18"/>
          <w:szCs w:val="18"/>
        </w:rPr>
        <w:t xml:space="preserve">Note: </w:t>
      </w:r>
      <w:r w:rsidR="00F22990" w:rsidRPr="00491834">
        <w:rPr>
          <w:sz w:val="18"/>
          <w:szCs w:val="18"/>
          <w:vertAlign w:val="superscript"/>
        </w:rPr>
        <w:t>***</w:t>
      </w:r>
      <w:r w:rsidR="00F22990" w:rsidRPr="00491834">
        <w:rPr>
          <w:sz w:val="18"/>
          <w:szCs w:val="18"/>
        </w:rPr>
        <w:t xml:space="preserve"> significan</w:t>
      </w:r>
      <w:r w:rsidR="00F22990" w:rsidRPr="00491834">
        <w:rPr>
          <w:sz w:val="18"/>
          <w:szCs w:val="18"/>
        </w:rPr>
        <w:softHyphen/>
      </w:r>
      <w:r w:rsidR="00F22990" w:rsidRPr="00491834">
        <w:rPr>
          <w:sz w:val="18"/>
          <w:szCs w:val="18"/>
        </w:rPr>
        <w:softHyphen/>
      </w:r>
      <w:r w:rsidR="00F22990" w:rsidRPr="00491834">
        <w:rPr>
          <w:sz w:val="18"/>
          <w:szCs w:val="18"/>
        </w:rPr>
        <w:softHyphen/>
      </w:r>
      <w:r w:rsidR="00F22990" w:rsidRPr="00491834">
        <w:rPr>
          <w:sz w:val="18"/>
          <w:szCs w:val="18"/>
        </w:rPr>
        <w:softHyphen/>
      </w:r>
      <w:r w:rsidR="00F22990" w:rsidRPr="00491834">
        <w:rPr>
          <w:sz w:val="18"/>
          <w:szCs w:val="18"/>
        </w:rPr>
        <w:softHyphen/>
      </w:r>
      <w:r w:rsidR="00F22990" w:rsidRPr="00491834">
        <w:rPr>
          <w:sz w:val="18"/>
          <w:szCs w:val="18"/>
        </w:rPr>
        <w:softHyphen/>
      </w:r>
      <w:r w:rsidR="00F22990" w:rsidRPr="00491834">
        <w:rPr>
          <w:sz w:val="18"/>
          <w:szCs w:val="18"/>
        </w:rPr>
        <w:softHyphen/>
        <w:t>t at the 0.001 level</w:t>
      </w:r>
    </w:p>
    <w:p w:rsidR="00F22990" w:rsidRPr="00F22990" w:rsidRDefault="00F22990"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lastRenderedPageBreak/>
        <w:t>Hypothesis Testing</w:t>
      </w:r>
    </w:p>
    <w:p w:rsidR="00F22990" w:rsidRPr="00F22990" w:rsidRDefault="00F22990" w:rsidP="00F22990">
      <w:pPr>
        <w:contextualSpacing/>
        <w:jc w:val="both"/>
        <w:rPr>
          <w:sz w:val="22"/>
          <w:szCs w:val="22"/>
        </w:rPr>
      </w:pPr>
    </w:p>
    <w:p w:rsidR="00F22990" w:rsidRPr="00491834" w:rsidRDefault="00F22990" w:rsidP="003950C8">
      <w:pPr>
        <w:ind w:firstLine="284"/>
        <w:contextualSpacing/>
        <w:jc w:val="both"/>
        <w:rPr>
          <w:sz w:val="22"/>
          <w:szCs w:val="22"/>
        </w:rPr>
      </w:pPr>
      <w:r w:rsidRPr="00491834">
        <w:rPr>
          <w:sz w:val="22"/>
          <w:szCs w:val="22"/>
        </w:rPr>
        <w:t>As mentioned in the literature review, this study suggests eleven hypotheses, eight of which (</w:t>
      </w:r>
      <w:proofErr w:type="spellStart"/>
      <w:r w:rsidRPr="00491834">
        <w:rPr>
          <w:sz w:val="22"/>
          <w:szCs w:val="22"/>
        </w:rPr>
        <w:t>H</w:t>
      </w:r>
      <w:r w:rsidRPr="00491834">
        <w:rPr>
          <w:sz w:val="22"/>
          <w:szCs w:val="22"/>
          <w:vertAlign w:val="subscript"/>
        </w:rPr>
        <w:t>1</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2</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3</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4</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5</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7</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8</w:t>
      </w:r>
      <w:proofErr w:type="spellEnd"/>
      <w:r w:rsidRPr="00491834">
        <w:rPr>
          <w:sz w:val="22"/>
          <w:szCs w:val="22"/>
        </w:rPr>
        <w:t xml:space="preserve"> and </w:t>
      </w:r>
      <w:proofErr w:type="spellStart"/>
      <w:r w:rsidRPr="00491834">
        <w:rPr>
          <w:sz w:val="22"/>
          <w:szCs w:val="22"/>
        </w:rPr>
        <w:t>H</w:t>
      </w:r>
      <w:r w:rsidRPr="00491834">
        <w:rPr>
          <w:sz w:val="22"/>
          <w:szCs w:val="22"/>
          <w:vertAlign w:val="subscript"/>
        </w:rPr>
        <w:t>9</w:t>
      </w:r>
      <w:proofErr w:type="spellEnd"/>
      <w:r w:rsidRPr="00491834">
        <w:rPr>
          <w:sz w:val="22"/>
          <w:szCs w:val="22"/>
        </w:rPr>
        <w:t>) are accepted, and three of which (</w:t>
      </w:r>
      <w:proofErr w:type="spellStart"/>
      <w:r w:rsidRPr="00491834">
        <w:rPr>
          <w:sz w:val="22"/>
          <w:szCs w:val="22"/>
        </w:rPr>
        <w:t>H</w:t>
      </w:r>
      <w:r w:rsidRPr="00491834">
        <w:rPr>
          <w:sz w:val="22"/>
          <w:szCs w:val="22"/>
          <w:vertAlign w:val="subscript"/>
        </w:rPr>
        <w:t>6</w:t>
      </w:r>
      <w:proofErr w:type="spellEnd"/>
      <w:r w:rsidRPr="00491834">
        <w:rPr>
          <w:sz w:val="22"/>
          <w:szCs w:val="22"/>
        </w:rPr>
        <w:t xml:space="preserve">, </w:t>
      </w:r>
      <w:proofErr w:type="spellStart"/>
      <w:r w:rsidRPr="00491834">
        <w:rPr>
          <w:sz w:val="22"/>
          <w:szCs w:val="22"/>
        </w:rPr>
        <w:t>H</w:t>
      </w:r>
      <w:r w:rsidRPr="00491834">
        <w:rPr>
          <w:sz w:val="22"/>
          <w:szCs w:val="22"/>
          <w:vertAlign w:val="subscript"/>
        </w:rPr>
        <w:t>10</w:t>
      </w:r>
      <w:proofErr w:type="spellEnd"/>
      <w:r w:rsidRPr="00491834">
        <w:rPr>
          <w:sz w:val="22"/>
          <w:szCs w:val="22"/>
        </w:rPr>
        <w:t xml:space="preserve"> and </w:t>
      </w:r>
      <w:proofErr w:type="spellStart"/>
      <w:r w:rsidRPr="00491834">
        <w:rPr>
          <w:sz w:val="22"/>
          <w:szCs w:val="22"/>
        </w:rPr>
        <w:t>H</w:t>
      </w:r>
      <w:r w:rsidRPr="00491834">
        <w:rPr>
          <w:sz w:val="22"/>
          <w:szCs w:val="22"/>
          <w:vertAlign w:val="subscript"/>
        </w:rPr>
        <w:t>11</w:t>
      </w:r>
      <w:proofErr w:type="spellEnd"/>
      <w:r w:rsidRPr="00491834">
        <w:rPr>
          <w:sz w:val="22"/>
          <w:szCs w:val="22"/>
        </w:rPr>
        <w:t xml:space="preserve">) are rejected. All of the accepted hypotheses have convincing </w:t>
      </w:r>
      <w:r w:rsidR="00B76D4A" w:rsidRPr="00491834">
        <w:rPr>
          <w:sz w:val="22"/>
          <w:szCs w:val="22"/>
        </w:rPr>
        <w:t xml:space="preserve">magnitude of </w:t>
      </w:r>
      <w:r w:rsidRPr="00491834">
        <w:rPr>
          <w:sz w:val="22"/>
          <w:szCs w:val="22"/>
        </w:rPr>
        <w:t>beta coefficient</w:t>
      </w:r>
      <w:r w:rsidR="00B76D4A" w:rsidRPr="00491834">
        <w:rPr>
          <w:sz w:val="22"/>
          <w:szCs w:val="22"/>
        </w:rPr>
        <w:t>s</w:t>
      </w:r>
      <w:r w:rsidRPr="00491834">
        <w:rPr>
          <w:sz w:val="22"/>
          <w:szCs w:val="22"/>
        </w:rPr>
        <w:t xml:space="preserve"> and </w:t>
      </w:r>
      <w:r w:rsidR="00B76D4A" w:rsidRPr="00491834">
        <w:rPr>
          <w:sz w:val="22"/>
          <w:szCs w:val="22"/>
        </w:rPr>
        <w:t xml:space="preserve">the </w:t>
      </w:r>
      <w:r w:rsidRPr="00491834">
        <w:rPr>
          <w:sz w:val="22"/>
          <w:szCs w:val="22"/>
        </w:rPr>
        <w:t xml:space="preserve">level of significance. Two of the accepted hypotheses, </w:t>
      </w:r>
      <w:proofErr w:type="spellStart"/>
      <w:r w:rsidRPr="00491834">
        <w:rPr>
          <w:sz w:val="22"/>
          <w:szCs w:val="22"/>
        </w:rPr>
        <w:t>H</w:t>
      </w:r>
      <w:r w:rsidRPr="00491834">
        <w:rPr>
          <w:sz w:val="22"/>
          <w:szCs w:val="22"/>
          <w:vertAlign w:val="subscript"/>
        </w:rPr>
        <w:t>5</w:t>
      </w:r>
      <w:proofErr w:type="spellEnd"/>
      <w:r w:rsidRPr="00491834">
        <w:rPr>
          <w:sz w:val="22"/>
          <w:szCs w:val="22"/>
        </w:rPr>
        <w:t xml:space="preserve"> and </w:t>
      </w:r>
      <w:proofErr w:type="spellStart"/>
      <w:r w:rsidRPr="00491834">
        <w:rPr>
          <w:sz w:val="22"/>
          <w:szCs w:val="22"/>
        </w:rPr>
        <w:t>H</w:t>
      </w:r>
      <w:r w:rsidRPr="00491834">
        <w:rPr>
          <w:sz w:val="22"/>
          <w:szCs w:val="22"/>
          <w:vertAlign w:val="subscript"/>
        </w:rPr>
        <w:t>7</w:t>
      </w:r>
      <w:proofErr w:type="spellEnd"/>
      <w:r w:rsidRPr="00491834">
        <w:rPr>
          <w:sz w:val="22"/>
          <w:szCs w:val="22"/>
        </w:rPr>
        <w:t xml:space="preserve">, are null hypotheses. Likewise, the rejected ones also have convincing </w:t>
      </w:r>
      <w:r w:rsidRPr="00491834">
        <w:rPr>
          <w:i/>
          <w:sz w:val="22"/>
          <w:szCs w:val="22"/>
        </w:rPr>
        <w:t xml:space="preserve">p </w:t>
      </w:r>
      <w:r w:rsidRPr="00491834">
        <w:rPr>
          <w:sz w:val="22"/>
          <w:szCs w:val="22"/>
        </w:rPr>
        <w:t xml:space="preserve">coefficient. Hence, the acceptance and the rejection of the hypotheses are not in gray areas or having improbable magnitude. To gain a better understanding, the testing is visualized </w:t>
      </w:r>
      <w:r w:rsidR="007C7E21" w:rsidRPr="00491834">
        <w:rPr>
          <w:sz w:val="22"/>
          <w:szCs w:val="22"/>
        </w:rPr>
        <w:t>F</w:t>
      </w:r>
      <w:r w:rsidRPr="00491834">
        <w:rPr>
          <w:sz w:val="22"/>
          <w:szCs w:val="22"/>
        </w:rPr>
        <w:t>igure</w:t>
      </w:r>
      <w:r w:rsidR="007C7E21" w:rsidRPr="00491834">
        <w:rPr>
          <w:sz w:val="22"/>
          <w:szCs w:val="22"/>
        </w:rPr>
        <w:t xml:space="preserve"> 2</w:t>
      </w:r>
      <w:r w:rsidRPr="00491834">
        <w:rPr>
          <w:sz w:val="22"/>
          <w:szCs w:val="22"/>
        </w:rPr>
        <w:t>.</w:t>
      </w:r>
    </w:p>
    <w:p w:rsidR="00E216DA" w:rsidRPr="00F22990" w:rsidRDefault="00E216DA" w:rsidP="003950C8">
      <w:pPr>
        <w:ind w:firstLine="284"/>
        <w:contextualSpacing/>
        <w:jc w:val="both"/>
        <w:rPr>
          <w:sz w:val="22"/>
          <w:szCs w:val="22"/>
        </w:rPr>
      </w:pPr>
    </w:p>
    <w:p w:rsidR="00F22990" w:rsidRPr="00F22990" w:rsidRDefault="00EF65BC" w:rsidP="00F22990">
      <w:pPr>
        <w:rPr>
          <w:b/>
          <w:sz w:val="22"/>
          <w:szCs w:val="22"/>
        </w:rPr>
      </w:pPr>
      <w:r>
        <w:rPr>
          <w:b/>
          <w:noProof/>
          <w:sz w:val="22"/>
          <w:szCs w:val="22"/>
        </w:rPr>
        <mc:AlternateContent>
          <mc:Choice Requires="wpg">
            <w:drawing>
              <wp:anchor distT="0" distB="0" distL="114300" distR="114300" simplePos="0" relativeHeight="251694080" behindDoc="0" locked="0" layoutInCell="1" allowOverlap="1" wp14:anchorId="1858213B">
                <wp:simplePos x="0" y="0"/>
                <wp:positionH relativeFrom="column">
                  <wp:posOffset>2540</wp:posOffset>
                </wp:positionH>
                <wp:positionV relativeFrom="paragraph">
                  <wp:posOffset>10795</wp:posOffset>
                </wp:positionV>
                <wp:extent cx="4674235" cy="2686050"/>
                <wp:effectExtent l="6350" t="7620" r="5715" b="11430"/>
                <wp:wrapNone/>
                <wp:docPr id="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235" cy="2686050"/>
                          <a:chOff x="1705" y="6365"/>
                          <a:chExt cx="7361" cy="4230"/>
                        </a:xfrm>
                      </wpg:grpSpPr>
                      <wps:wsp>
                        <wps:cNvPr id="4" name="Rectangle 67"/>
                        <wps:cNvSpPr>
                          <a:spLocks noChangeArrowheads="1"/>
                        </wps:cNvSpPr>
                        <wps:spPr bwMode="auto">
                          <a:xfrm>
                            <a:off x="2467" y="7052"/>
                            <a:ext cx="1095"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E216DA">
                                <w:rPr>
                                  <w:b/>
                                  <w:sz w:val="20"/>
                                  <w:szCs w:val="20"/>
                                </w:rPr>
                                <w:t>H</w:t>
                              </w:r>
                              <w:r w:rsidRPr="00E216DA">
                                <w:rPr>
                                  <w:b/>
                                  <w:sz w:val="20"/>
                                  <w:szCs w:val="20"/>
                                  <w:vertAlign w:val="subscript"/>
                                </w:rPr>
                                <w:t>8</w:t>
                              </w:r>
                              <w:r>
                                <w:rPr>
                                  <w:sz w:val="20"/>
                                  <w:szCs w:val="20"/>
                                </w:rPr>
                                <w:t xml:space="preserve">: </w:t>
                              </w:r>
                              <w:r w:rsidRPr="003E2152">
                                <w:rPr>
                                  <w:sz w:val="20"/>
                                  <w:szCs w:val="20"/>
                                </w:rPr>
                                <w:t>0.42</w:t>
                              </w:r>
                            </w:p>
                          </w:txbxContent>
                        </wps:txbx>
                        <wps:bodyPr rot="0" vert="horz" wrap="square" lIns="91440" tIns="45720" rIns="91440" bIns="45720" anchor="t" anchorCtr="0" upright="1">
                          <a:noAutofit/>
                        </wps:bodyPr>
                      </wps:wsp>
                      <wps:wsp>
                        <wps:cNvPr id="5" name="Rectangle 68"/>
                        <wps:cNvSpPr>
                          <a:spLocks noChangeArrowheads="1"/>
                        </wps:cNvSpPr>
                        <wps:spPr bwMode="auto">
                          <a:xfrm>
                            <a:off x="4522" y="7223"/>
                            <a:ext cx="975"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2</w:t>
                              </w:r>
                              <w:r>
                                <w:rPr>
                                  <w:sz w:val="20"/>
                                  <w:szCs w:val="20"/>
                                </w:rPr>
                                <w:t>:</w:t>
                              </w:r>
                              <w:r w:rsidRPr="003E2152">
                                <w:rPr>
                                  <w:sz w:val="20"/>
                                  <w:szCs w:val="20"/>
                                </w:rPr>
                                <w:t>0.253</w:t>
                              </w:r>
                            </w:p>
                          </w:txbxContent>
                        </wps:txbx>
                        <wps:bodyPr rot="0" vert="horz" wrap="square" lIns="91440" tIns="45720" rIns="91440" bIns="45720" anchor="t" anchorCtr="0" upright="1">
                          <a:noAutofit/>
                        </wps:bodyPr>
                      </wps:wsp>
                      <wps:wsp>
                        <wps:cNvPr id="6" name="AutoShape 69"/>
                        <wps:cNvCnPr>
                          <a:cxnSpLocks noChangeShapeType="1"/>
                        </wps:cNvCnPr>
                        <wps:spPr bwMode="auto">
                          <a:xfrm>
                            <a:off x="5034" y="6762"/>
                            <a:ext cx="787" cy="1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0"/>
                        <wps:cNvSpPr>
                          <a:spLocks noChangeArrowheads="1"/>
                        </wps:cNvSpPr>
                        <wps:spPr bwMode="auto">
                          <a:xfrm>
                            <a:off x="3769" y="7632"/>
                            <a:ext cx="1728"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11</w:t>
                              </w:r>
                              <w:r>
                                <w:rPr>
                                  <w:sz w:val="20"/>
                                  <w:szCs w:val="20"/>
                                </w:rPr>
                                <w:t>:-0.02</w:t>
                              </w:r>
                            </w:p>
                          </w:txbxContent>
                        </wps:txbx>
                        <wps:bodyPr rot="0" vert="horz" wrap="square" lIns="91440" tIns="45720" rIns="91440" bIns="45720" anchor="t" anchorCtr="0" upright="1">
                          <a:noAutofit/>
                        </wps:bodyPr>
                      </wps:wsp>
                      <wps:wsp>
                        <wps:cNvPr id="8" name="Rectangle 71"/>
                        <wps:cNvSpPr>
                          <a:spLocks noChangeArrowheads="1"/>
                        </wps:cNvSpPr>
                        <wps:spPr bwMode="auto">
                          <a:xfrm>
                            <a:off x="3209" y="8257"/>
                            <a:ext cx="1209"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10</w:t>
                              </w:r>
                              <w:r>
                                <w:rPr>
                                  <w:sz w:val="20"/>
                                  <w:szCs w:val="20"/>
                                </w:rPr>
                                <w:t xml:space="preserve">: </w:t>
                              </w:r>
                              <w:r w:rsidRPr="003E2152">
                                <w:rPr>
                                  <w:sz w:val="20"/>
                                  <w:szCs w:val="20"/>
                                </w:rPr>
                                <w:t>0.1</w:t>
                              </w:r>
                              <w:r>
                                <w:rPr>
                                  <w:sz w:val="20"/>
                                  <w:szCs w:val="20"/>
                                </w:rPr>
                                <w:t>2</w:t>
                              </w:r>
                            </w:p>
                          </w:txbxContent>
                        </wps:txbx>
                        <wps:bodyPr rot="0" vert="horz" wrap="square" lIns="91440" tIns="45720" rIns="91440" bIns="45720" anchor="t" anchorCtr="0" upright="1">
                          <a:noAutofit/>
                        </wps:bodyPr>
                      </wps:wsp>
                      <wps:wsp>
                        <wps:cNvPr id="10" name="Rectangle 72"/>
                        <wps:cNvSpPr>
                          <a:spLocks noChangeArrowheads="1"/>
                        </wps:cNvSpPr>
                        <wps:spPr bwMode="auto">
                          <a:xfrm>
                            <a:off x="2440" y="9201"/>
                            <a:ext cx="1080"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9</w:t>
                              </w:r>
                              <w:r>
                                <w:rPr>
                                  <w:sz w:val="20"/>
                                  <w:szCs w:val="20"/>
                                </w:rPr>
                                <w:t>:0.21</w:t>
                              </w:r>
                            </w:p>
                          </w:txbxContent>
                        </wps:txbx>
                        <wps:bodyPr rot="0" vert="horz" wrap="square" lIns="91440" tIns="45720" rIns="91440" bIns="45720" anchor="t" anchorCtr="0" upright="1">
                          <a:noAutofit/>
                        </wps:bodyPr>
                      </wps:wsp>
                      <wps:wsp>
                        <wps:cNvPr id="11" name="Rectangle 73"/>
                        <wps:cNvSpPr>
                          <a:spLocks noChangeArrowheads="1"/>
                        </wps:cNvSpPr>
                        <wps:spPr bwMode="auto">
                          <a:xfrm>
                            <a:off x="5366" y="9182"/>
                            <a:ext cx="96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4</w:t>
                              </w:r>
                              <w:r>
                                <w:rPr>
                                  <w:sz w:val="20"/>
                                  <w:szCs w:val="20"/>
                                </w:rPr>
                                <w:t>:</w:t>
                              </w:r>
                              <w:r w:rsidRPr="003E2152">
                                <w:rPr>
                                  <w:sz w:val="20"/>
                                  <w:szCs w:val="20"/>
                                </w:rPr>
                                <w:t>0.219</w:t>
                              </w:r>
                            </w:p>
                          </w:txbxContent>
                        </wps:txbx>
                        <wps:bodyPr rot="0" vert="horz" wrap="square" lIns="91440" tIns="45720" rIns="91440" bIns="45720" anchor="t" anchorCtr="0" upright="1">
                          <a:noAutofit/>
                        </wps:bodyPr>
                      </wps:wsp>
                      <wps:wsp>
                        <wps:cNvPr id="12" name="Rectangle 74"/>
                        <wps:cNvSpPr>
                          <a:spLocks noChangeArrowheads="1"/>
                        </wps:cNvSpPr>
                        <wps:spPr bwMode="auto">
                          <a:xfrm>
                            <a:off x="6065" y="8644"/>
                            <a:ext cx="1162"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6</w:t>
                              </w:r>
                              <w:r>
                                <w:rPr>
                                  <w:sz w:val="20"/>
                                  <w:szCs w:val="20"/>
                                </w:rPr>
                                <w:t>:</w:t>
                              </w:r>
                              <w:r w:rsidRPr="003E2152">
                                <w:rPr>
                                  <w:sz w:val="20"/>
                                  <w:szCs w:val="20"/>
                                </w:rPr>
                                <w:t>-0.</w:t>
                              </w:r>
                              <w:r>
                                <w:rPr>
                                  <w:sz w:val="20"/>
                                  <w:szCs w:val="20"/>
                                </w:rPr>
                                <w:t>1</w:t>
                              </w:r>
                              <w:r w:rsidRPr="003E2152">
                                <w:rPr>
                                  <w:sz w:val="20"/>
                                  <w:szCs w:val="20"/>
                                </w:rPr>
                                <w:t>0</w:t>
                              </w:r>
                            </w:p>
                          </w:txbxContent>
                        </wps:txbx>
                        <wps:bodyPr rot="0" vert="horz" wrap="square" lIns="91440" tIns="45720" rIns="91440" bIns="45720" anchor="t" anchorCtr="0" upright="1">
                          <a:noAutofit/>
                        </wps:bodyPr>
                      </wps:wsp>
                      <wps:wsp>
                        <wps:cNvPr id="13" name="Rectangle 75"/>
                        <wps:cNvSpPr>
                          <a:spLocks noChangeArrowheads="1"/>
                        </wps:cNvSpPr>
                        <wps:spPr bwMode="auto">
                          <a:xfrm>
                            <a:off x="6495" y="9182"/>
                            <a:ext cx="104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5</w:t>
                              </w:r>
                              <w:r>
                                <w:rPr>
                                  <w:sz w:val="20"/>
                                  <w:szCs w:val="20"/>
                                </w:rPr>
                                <w:t>:</w:t>
                              </w:r>
                              <w:r w:rsidRPr="003E2152">
                                <w:rPr>
                                  <w:sz w:val="20"/>
                                  <w:szCs w:val="20"/>
                                </w:rPr>
                                <w:t>0.0</w:t>
                              </w:r>
                              <w:r>
                                <w:rPr>
                                  <w:sz w:val="20"/>
                                  <w:szCs w:val="20"/>
                                </w:rPr>
                                <w:t>9</w:t>
                              </w:r>
                            </w:p>
                          </w:txbxContent>
                        </wps:txbx>
                        <wps:bodyPr rot="0" vert="horz" wrap="square" lIns="91440" tIns="45720" rIns="91440" bIns="45720" anchor="t" anchorCtr="0" upright="1">
                          <a:noAutofit/>
                        </wps:bodyPr>
                      </wps:wsp>
                      <wps:wsp>
                        <wps:cNvPr id="14" name="Rectangle 76"/>
                        <wps:cNvSpPr>
                          <a:spLocks noChangeArrowheads="1"/>
                        </wps:cNvSpPr>
                        <wps:spPr bwMode="auto">
                          <a:xfrm>
                            <a:off x="6940" y="7685"/>
                            <a:ext cx="104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1</w:t>
                              </w:r>
                              <w:r>
                                <w:rPr>
                                  <w:sz w:val="20"/>
                                  <w:szCs w:val="20"/>
                                  <w:vertAlign w:val="subscript"/>
                                </w:rPr>
                                <w:t>:</w:t>
                              </w:r>
                              <w:r w:rsidRPr="003E2152">
                                <w:rPr>
                                  <w:sz w:val="20"/>
                                  <w:szCs w:val="20"/>
                                </w:rPr>
                                <w:t>0.32</w:t>
                              </w:r>
                            </w:p>
                          </w:txbxContent>
                        </wps:txbx>
                        <wps:bodyPr rot="0" vert="horz" wrap="square" lIns="91440" tIns="45720" rIns="91440" bIns="45720" anchor="t" anchorCtr="0" upright="1">
                          <a:noAutofit/>
                        </wps:bodyPr>
                      </wps:wsp>
                      <wps:wsp>
                        <wps:cNvPr id="15" name="Rectangle 77"/>
                        <wps:cNvSpPr>
                          <a:spLocks noChangeArrowheads="1"/>
                        </wps:cNvSpPr>
                        <wps:spPr bwMode="auto">
                          <a:xfrm>
                            <a:off x="6190" y="6907"/>
                            <a:ext cx="1037"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3</w:t>
                              </w:r>
                              <w:r>
                                <w:rPr>
                                  <w:sz w:val="20"/>
                                  <w:szCs w:val="20"/>
                                </w:rPr>
                                <w:t>:</w:t>
                              </w:r>
                              <w:r w:rsidRPr="003E2152">
                                <w:rPr>
                                  <w:sz w:val="20"/>
                                  <w:szCs w:val="20"/>
                                </w:rPr>
                                <w:t>0.328</w:t>
                              </w:r>
                            </w:p>
                          </w:txbxContent>
                        </wps:txbx>
                        <wps:bodyPr rot="0" vert="horz" wrap="square" lIns="91440" tIns="45720" rIns="91440" bIns="45720" anchor="t" anchorCtr="0" upright="1">
                          <a:noAutofit/>
                        </wps:bodyPr>
                      </wps:wsp>
                      <wps:wsp>
                        <wps:cNvPr id="16" name="Rectangle 78"/>
                        <wps:cNvSpPr>
                          <a:spLocks noChangeArrowheads="1"/>
                        </wps:cNvSpPr>
                        <wps:spPr bwMode="auto">
                          <a:xfrm>
                            <a:off x="4574" y="8244"/>
                            <a:ext cx="1140"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EB" w:rsidRPr="003E2152" w:rsidRDefault="00F258EB" w:rsidP="00E216DA">
                              <w:pPr>
                                <w:rPr>
                                  <w:sz w:val="20"/>
                                  <w:szCs w:val="20"/>
                                </w:rPr>
                              </w:pPr>
                              <w:r w:rsidRPr="003E2152">
                                <w:rPr>
                                  <w:sz w:val="20"/>
                                  <w:szCs w:val="20"/>
                                </w:rPr>
                                <w:t xml:space="preserve"> </w:t>
                              </w:r>
                              <w:r w:rsidRPr="00822FFE">
                                <w:rPr>
                                  <w:b/>
                                  <w:sz w:val="20"/>
                                  <w:szCs w:val="20"/>
                                </w:rPr>
                                <w:t>H</w:t>
                              </w:r>
                              <w:r w:rsidRPr="00822FFE">
                                <w:rPr>
                                  <w:b/>
                                  <w:sz w:val="20"/>
                                  <w:szCs w:val="20"/>
                                  <w:vertAlign w:val="subscript"/>
                                </w:rPr>
                                <w:t>7</w:t>
                              </w:r>
                              <w:r>
                                <w:rPr>
                                  <w:sz w:val="20"/>
                                  <w:szCs w:val="20"/>
                                </w:rPr>
                                <w:t>:</w:t>
                              </w:r>
                              <w:r w:rsidRPr="003E2152">
                                <w:rPr>
                                  <w:sz w:val="20"/>
                                  <w:szCs w:val="20"/>
                                </w:rPr>
                                <w:t>0.00</w:t>
                              </w:r>
                            </w:p>
                          </w:txbxContent>
                        </wps:txbx>
                        <wps:bodyPr rot="0" vert="horz" wrap="square" lIns="91440" tIns="45720" rIns="91440" bIns="45720" anchor="t" anchorCtr="0" upright="1">
                          <a:noAutofit/>
                        </wps:bodyPr>
                      </wps:wsp>
                      <wps:wsp>
                        <wps:cNvPr id="17" name="Rectangle 79"/>
                        <wps:cNvSpPr>
                          <a:spLocks noChangeArrowheads="1"/>
                        </wps:cNvSpPr>
                        <wps:spPr bwMode="auto">
                          <a:xfrm>
                            <a:off x="1705" y="7611"/>
                            <a:ext cx="987" cy="607"/>
                          </a:xfrm>
                          <a:prstGeom prst="rect">
                            <a:avLst/>
                          </a:prstGeom>
                          <a:solidFill>
                            <a:srgbClr val="FFFFFF"/>
                          </a:solidFill>
                          <a:ln w="9525">
                            <a:solidFill>
                              <a:srgbClr val="000000"/>
                            </a:solidFill>
                            <a:miter lim="800000"/>
                            <a:headEnd/>
                            <a:tailEnd/>
                          </a:ln>
                        </wps:spPr>
                        <wps:txbx>
                          <w:txbxContent>
                            <w:p w:rsidR="00F258EB" w:rsidRPr="00E216DA" w:rsidRDefault="00F258EB" w:rsidP="00E216DA">
                              <w:pPr>
                                <w:jc w:val="center"/>
                                <w:rPr>
                                  <w:sz w:val="20"/>
                                  <w:szCs w:val="20"/>
                                </w:rPr>
                              </w:pPr>
                              <w:r w:rsidRPr="00E216DA">
                                <w:rPr>
                                  <w:sz w:val="20"/>
                                  <w:szCs w:val="20"/>
                                </w:rPr>
                                <w:t>SIZE</w:t>
                              </w:r>
                            </w:p>
                          </w:txbxContent>
                        </wps:txbx>
                        <wps:bodyPr rot="0" vert="horz" wrap="square" lIns="91440" tIns="45720" rIns="91440" bIns="45720" anchor="t" anchorCtr="0" upright="1">
                          <a:noAutofit/>
                        </wps:bodyPr>
                      </wps:wsp>
                      <wps:wsp>
                        <wps:cNvPr id="18" name="Rectangle 80"/>
                        <wps:cNvSpPr>
                          <a:spLocks noChangeArrowheads="1"/>
                        </wps:cNvSpPr>
                        <wps:spPr bwMode="auto">
                          <a:xfrm>
                            <a:off x="3955" y="6365"/>
                            <a:ext cx="1079" cy="740"/>
                          </a:xfrm>
                          <a:prstGeom prst="rect">
                            <a:avLst/>
                          </a:prstGeom>
                          <a:solidFill>
                            <a:srgbClr val="FFFFFF"/>
                          </a:solidFill>
                          <a:ln w="9525">
                            <a:solidFill>
                              <a:srgbClr val="000000"/>
                            </a:solidFill>
                            <a:miter lim="800000"/>
                            <a:headEnd/>
                            <a:tailEnd/>
                          </a:ln>
                        </wps:spPr>
                        <wps:txbx>
                          <w:txbxContent>
                            <w:p w:rsidR="00F258EB" w:rsidRPr="00E216DA" w:rsidRDefault="00F258EB" w:rsidP="00E216DA">
                              <w:pPr>
                                <w:jc w:val="center"/>
                                <w:rPr>
                                  <w:sz w:val="20"/>
                                  <w:szCs w:val="20"/>
                                </w:rPr>
                              </w:pPr>
                              <w:r w:rsidRPr="00E216DA">
                                <w:rPr>
                                  <w:sz w:val="20"/>
                                  <w:szCs w:val="20"/>
                                </w:rPr>
                                <w:t>BOARD SIZE</w:t>
                              </w:r>
                            </w:p>
                          </w:txbxContent>
                        </wps:txbx>
                        <wps:bodyPr rot="0" vert="horz" wrap="square" lIns="91440" tIns="45720" rIns="91440" bIns="45720" anchor="t" anchorCtr="0" upright="1">
                          <a:noAutofit/>
                        </wps:bodyPr>
                      </wps:wsp>
                      <wps:wsp>
                        <wps:cNvPr id="19" name="Rectangle 81"/>
                        <wps:cNvSpPr>
                          <a:spLocks noChangeArrowheads="1"/>
                        </wps:cNvSpPr>
                        <wps:spPr bwMode="auto">
                          <a:xfrm>
                            <a:off x="3955" y="8656"/>
                            <a:ext cx="1079" cy="659"/>
                          </a:xfrm>
                          <a:prstGeom prst="rect">
                            <a:avLst/>
                          </a:prstGeom>
                          <a:solidFill>
                            <a:srgbClr val="FFFFFF"/>
                          </a:solidFill>
                          <a:ln w="9525">
                            <a:solidFill>
                              <a:srgbClr val="000000"/>
                            </a:solidFill>
                            <a:miter lim="800000"/>
                            <a:headEnd/>
                            <a:tailEnd/>
                          </a:ln>
                        </wps:spPr>
                        <wps:txbx>
                          <w:txbxContent>
                            <w:p w:rsidR="00F258EB" w:rsidRPr="00E216DA" w:rsidRDefault="00F258EB" w:rsidP="00E216DA">
                              <w:pPr>
                                <w:jc w:val="center"/>
                                <w:rPr>
                                  <w:sz w:val="20"/>
                                  <w:szCs w:val="20"/>
                                </w:rPr>
                              </w:pPr>
                              <w:r w:rsidRPr="00E216DA">
                                <w:rPr>
                                  <w:sz w:val="20"/>
                                  <w:szCs w:val="20"/>
                                </w:rPr>
                                <w:t>DAR</w:t>
                              </w:r>
                            </w:p>
                          </w:txbxContent>
                        </wps:txbx>
                        <wps:bodyPr rot="0" vert="horz" wrap="square" lIns="91440" tIns="45720" rIns="91440" bIns="45720" anchor="t" anchorCtr="0" upright="1">
                          <a:noAutofit/>
                        </wps:bodyPr>
                      </wps:wsp>
                      <wps:wsp>
                        <wps:cNvPr id="20" name="Rectangle 82"/>
                        <wps:cNvSpPr>
                          <a:spLocks noChangeArrowheads="1"/>
                        </wps:cNvSpPr>
                        <wps:spPr bwMode="auto">
                          <a:xfrm>
                            <a:off x="3955" y="10026"/>
                            <a:ext cx="1079" cy="569"/>
                          </a:xfrm>
                          <a:prstGeom prst="rect">
                            <a:avLst/>
                          </a:prstGeom>
                          <a:solidFill>
                            <a:srgbClr val="FFFFFF"/>
                          </a:solidFill>
                          <a:ln w="9525">
                            <a:solidFill>
                              <a:srgbClr val="000000"/>
                            </a:solidFill>
                            <a:miter lim="800000"/>
                            <a:headEnd/>
                            <a:tailEnd/>
                          </a:ln>
                        </wps:spPr>
                        <wps:txbx>
                          <w:txbxContent>
                            <w:p w:rsidR="00F258EB" w:rsidRPr="00E216DA" w:rsidRDefault="00F258EB" w:rsidP="00E216DA">
                              <w:pPr>
                                <w:jc w:val="center"/>
                                <w:rPr>
                                  <w:sz w:val="20"/>
                                  <w:szCs w:val="20"/>
                                </w:rPr>
                              </w:pPr>
                              <w:r w:rsidRPr="00E216DA">
                                <w:rPr>
                                  <w:sz w:val="20"/>
                                  <w:szCs w:val="20"/>
                                </w:rPr>
                                <w:t>ROA</w:t>
                              </w:r>
                            </w:p>
                          </w:txbxContent>
                        </wps:txbx>
                        <wps:bodyPr rot="0" vert="horz" wrap="square" lIns="91440" tIns="45720" rIns="91440" bIns="45720" anchor="t" anchorCtr="0" upright="1">
                          <a:noAutofit/>
                        </wps:bodyPr>
                      </wps:wsp>
                      <wps:wsp>
                        <wps:cNvPr id="22" name="Rectangle 83"/>
                        <wps:cNvSpPr>
                          <a:spLocks noChangeArrowheads="1"/>
                        </wps:cNvSpPr>
                        <wps:spPr bwMode="auto">
                          <a:xfrm>
                            <a:off x="5821" y="7710"/>
                            <a:ext cx="1178" cy="562"/>
                          </a:xfrm>
                          <a:prstGeom prst="rect">
                            <a:avLst/>
                          </a:prstGeom>
                          <a:solidFill>
                            <a:srgbClr val="FFFFFF"/>
                          </a:solidFill>
                          <a:ln w="9525">
                            <a:solidFill>
                              <a:srgbClr val="000000"/>
                            </a:solidFill>
                            <a:miter lim="800000"/>
                            <a:headEnd/>
                            <a:tailEnd/>
                          </a:ln>
                        </wps:spPr>
                        <wps:txbx>
                          <w:txbxContent>
                            <w:p w:rsidR="00F258EB" w:rsidRPr="00822FFE" w:rsidRDefault="00F258EB" w:rsidP="00E216DA">
                              <w:pPr>
                                <w:jc w:val="center"/>
                                <w:rPr>
                                  <w:sz w:val="20"/>
                                  <w:szCs w:val="20"/>
                                </w:rPr>
                              </w:pPr>
                              <w:r w:rsidRPr="00822FFE">
                                <w:rPr>
                                  <w:sz w:val="20"/>
                                  <w:szCs w:val="20"/>
                                </w:rPr>
                                <w:t>PROPER</w:t>
                              </w:r>
                            </w:p>
                          </w:txbxContent>
                        </wps:txbx>
                        <wps:bodyPr rot="0" vert="horz" wrap="square" lIns="91440" tIns="45720" rIns="91440" bIns="45720" anchor="t" anchorCtr="0" upright="1">
                          <a:noAutofit/>
                        </wps:bodyPr>
                      </wps:wsp>
                      <wps:wsp>
                        <wps:cNvPr id="23" name="Rectangle 84"/>
                        <wps:cNvSpPr>
                          <a:spLocks noChangeArrowheads="1"/>
                        </wps:cNvSpPr>
                        <wps:spPr bwMode="auto">
                          <a:xfrm>
                            <a:off x="8284" y="7710"/>
                            <a:ext cx="782" cy="534"/>
                          </a:xfrm>
                          <a:prstGeom prst="rect">
                            <a:avLst/>
                          </a:prstGeom>
                          <a:solidFill>
                            <a:srgbClr val="FFFFFF"/>
                          </a:solidFill>
                          <a:ln w="9525">
                            <a:solidFill>
                              <a:srgbClr val="000000"/>
                            </a:solidFill>
                            <a:miter lim="800000"/>
                            <a:headEnd/>
                            <a:tailEnd/>
                          </a:ln>
                        </wps:spPr>
                        <wps:txbx>
                          <w:txbxContent>
                            <w:p w:rsidR="00F258EB" w:rsidRPr="00E216DA" w:rsidRDefault="00F258EB" w:rsidP="00E216DA">
                              <w:pPr>
                                <w:jc w:val="center"/>
                                <w:rPr>
                                  <w:sz w:val="20"/>
                                  <w:szCs w:val="20"/>
                                </w:rPr>
                              </w:pPr>
                              <w:r w:rsidRPr="00E216DA">
                                <w:rPr>
                                  <w:sz w:val="20"/>
                                  <w:szCs w:val="20"/>
                                </w:rPr>
                                <w:t>CED</w:t>
                              </w:r>
                            </w:p>
                          </w:txbxContent>
                        </wps:txbx>
                        <wps:bodyPr rot="0" vert="horz" wrap="square" lIns="91440" tIns="45720" rIns="91440" bIns="45720" anchor="t" anchorCtr="0" upright="1">
                          <a:noAutofit/>
                        </wps:bodyPr>
                      </wps:wsp>
                      <wps:wsp>
                        <wps:cNvPr id="24" name="AutoShape 85"/>
                        <wps:cNvCnPr>
                          <a:cxnSpLocks noChangeShapeType="1"/>
                        </wps:cNvCnPr>
                        <wps:spPr bwMode="auto">
                          <a:xfrm flipV="1">
                            <a:off x="2692" y="6666"/>
                            <a:ext cx="1263" cy="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86"/>
                        <wps:cNvCnPr>
                          <a:cxnSpLocks noChangeShapeType="1"/>
                        </wps:cNvCnPr>
                        <wps:spPr bwMode="auto">
                          <a:xfrm>
                            <a:off x="2692" y="8020"/>
                            <a:ext cx="1263" cy="10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87"/>
                        <wps:cNvCnPr>
                          <a:cxnSpLocks noChangeShapeType="1"/>
                        </wps:cNvCnPr>
                        <wps:spPr bwMode="auto">
                          <a:xfrm>
                            <a:off x="2692" y="8020"/>
                            <a:ext cx="1263" cy="2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88"/>
                        <wps:cNvCnPr>
                          <a:cxnSpLocks noChangeShapeType="1"/>
                        </wps:cNvCnPr>
                        <wps:spPr bwMode="auto">
                          <a:xfrm>
                            <a:off x="2692" y="7961"/>
                            <a:ext cx="31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89"/>
                        <wps:cNvCnPr>
                          <a:cxnSpLocks noChangeShapeType="1"/>
                        </wps:cNvCnPr>
                        <wps:spPr bwMode="auto">
                          <a:xfrm flipV="1">
                            <a:off x="5034" y="8020"/>
                            <a:ext cx="787" cy="101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90"/>
                        <wps:cNvCnPr>
                          <a:cxnSpLocks noChangeShapeType="1"/>
                        </wps:cNvCnPr>
                        <wps:spPr bwMode="auto">
                          <a:xfrm flipV="1">
                            <a:off x="5034" y="8089"/>
                            <a:ext cx="787" cy="2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91"/>
                        <wps:cNvCnPr>
                          <a:cxnSpLocks noChangeShapeType="1"/>
                        </wps:cNvCnPr>
                        <wps:spPr bwMode="auto">
                          <a:xfrm>
                            <a:off x="5034" y="6762"/>
                            <a:ext cx="3250" cy="1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92"/>
                        <wps:cNvCnPr>
                          <a:cxnSpLocks noChangeShapeType="1"/>
                        </wps:cNvCnPr>
                        <wps:spPr bwMode="auto">
                          <a:xfrm flipV="1">
                            <a:off x="5034" y="8218"/>
                            <a:ext cx="3204" cy="208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3"/>
                        <wps:cNvCnPr>
                          <a:cxnSpLocks noChangeShapeType="1"/>
                        </wps:cNvCnPr>
                        <wps:spPr bwMode="auto">
                          <a:xfrm>
                            <a:off x="6999" y="7998"/>
                            <a:ext cx="128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94"/>
                        <wps:cNvCnPr>
                          <a:cxnSpLocks noChangeShapeType="1"/>
                        </wps:cNvCnPr>
                        <wps:spPr bwMode="auto">
                          <a:xfrm flipV="1">
                            <a:off x="5034" y="8089"/>
                            <a:ext cx="3250" cy="9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58213B" id="Group 95" o:spid="_x0000_s1056" style="position:absolute;margin-left:.2pt;margin-top:.85pt;width:368.05pt;height:211.5pt;z-index:251694080" coordorigin="1705,6365" coordsize="736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">
                <v:rect id="Rectangle 67" o:spid="_x0000_s1057" style="position:absolute;left:2467;top:7052;width:109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F258EB" w:rsidRPr="003E2152" w:rsidRDefault="00F258EB" w:rsidP="00E216DA">
                        <w:pPr>
                          <w:rPr>
                            <w:sz w:val="20"/>
                            <w:szCs w:val="20"/>
                          </w:rPr>
                        </w:pPr>
                        <w:r w:rsidRPr="00E216DA">
                          <w:rPr>
                            <w:b/>
                            <w:sz w:val="20"/>
                            <w:szCs w:val="20"/>
                          </w:rPr>
                          <w:t>H</w:t>
                        </w:r>
                        <w:r w:rsidRPr="00E216DA">
                          <w:rPr>
                            <w:b/>
                            <w:sz w:val="20"/>
                            <w:szCs w:val="20"/>
                            <w:vertAlign w:val="subscript"/>
                          </w:rPr>
                          <w:t>8</w:t>
                        </w:r>
                        <w:r>
                          <w:rPr>
                            <w:sz w:val="20"/>
                            <w:szCs w:val="20"/>
                          </w:rPr>
                          <w:t xml:space="preserve">: </w:t>
                        </w:r>
                        <w:r w:rsidRPr="003E2152">
                          <w:rPr>
                            <w:sz w:val="20"/>
                            <w:szCs w:val="20"/>
                          </w:rPr>
                          <w:t>0.42</w:t>
                        </w:r>
                      </w:p>
                    </w:txbxContent>
                  </v:textbox>
                </v:rect>
                <v:rect id="Rectangle 68" o:spid="_x0000_s1058" style="position:absolute;left:4522;top:7223;width:9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2</w:t>
                        </w:r>
                        <w:r>
                          <w:rPr>
                            <w:sz w:val="20"/>
                            <w:szCs w:val="20"/>
                          </w:rPr>
                          <w:t>:</w:t>
                        </w:r>
                        <w:r w:rsidRPr="003E2152">
                          <w:rPr>
                            <w:sz w:val="20"/>
                            <w:szCs w:val="20"/>
                          </w:rPr>
                          <w:t>0.253</w:t>
                        </w:r>
                      </w:p>
                    </w:txbxContent>
                  </v:textbox>
                </v:rect>
                <v:shape id="AutoShape 69" o:spid="_x0000_s1059" type="#_x0000_t32" style="position:absolute;left:5034;top:6762;width:787;height:1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70" o:spid="_x0000_s1060" style="position:absolute;left:3769;top:7632;width:172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11</w:t>
                        </w:r>
                        <w:r>
                          <w:rPr>
                            <w:sz w:val="20"/>
                            <w:szCs w:val="20"/>
                          </w:rPr>
                          <w:t>:-0.02</w:t>
                        </w:r>
                      </w:p>
                    </w:txbxContent>
                  </v:textbox>
                </v:rect>
                <v:rect id="Rectangle 71" o:spid="_x0000_s1061" style="position:absolute;left:3209;top:8257;width:12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10</w:t>
                        </w:r>
                        <w:r>
                          <w:rPr>
                            <w:sz w:val="20"/>
                            <w:szCs w:val="20"/>
                          </w:rPr>
                          <w:t xml:space="preserve">: </w:t>
                        </w:r>
                        <w:r w:rsidRPr="003E2152">
                          <w:rPr>
                            <w:sz w:val="20"/>
                            <w:szCs w:val="20"/>
                          </w:rPr>
                          <w:t>0.1</w:t>
                        </w:r>
                        <w:r>
                          <w:rPr>
                            <w:sz w:val="20"/>
                            <w:szCs w:val="20"/>
                          </w:rPr>
                          <w:t>2</w:t>
                        </w:r>
                      </w:p>
                    </w:txbxContent>
                  </v:textbox>
                </v:rect>
                <v:rect id="Rectangle 72" o:spid="_x0000_s1062" style="position:absolute;left:2440;top:9201;width:108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9</w:t>
                        </w:r>
                        <w:r>
                          <w:rPr>
                            <w:sz w:val="20"/>
                            <w:szCs w:val="20"/>
                          </w:rPr>
                          <w:t>:0.21</w:t>
                        </w:r>
                      </w:p>
                    </w:txbxContent>
                  </v:textbox>
                </v:rect>
                <v:rect id="Rectangle 73" o:spid="_x0000_s1063" style="position:absolute;left:5366;top:9182;width:963;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4</w:t>
                        </w:r>
                        <w:r>
                          <w:rPr>
                            <w:sz w:val="20"/>
                            <w:szCs w:val="20"/>
                          </w:rPr>
                          <w:t>:</w:t>
                        </w:r>
                        <w:r w:rsidRPr="003E2152">
                          <w:rPr>
                            <w:sz w:val="20"/>
                            <w:szCs w:val="20"/>
                          </w:rPr>
                          <w:t>0.219</w:t>
                        </w:r>
                      </w:p>
                    </w:txbxContent>
                  </v:textbox>
                </v:rect>
                <v:rect id="Rectangle 74" o:spid="_x0000_s1064" style="position:absolute;left:6065;top:8644;width:116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6</w:t>
                        </w:r>
                        <w:r>
                          <w:rPr>
                            <w:sz w:val="20"/>
                            <w:szCs w:val="20"/>
                          </w:rPr>
                          <w:t>:</w:t>
                        </w:r>
                        <w:r w:rsidRPr="003E2152">
                          <w:rPr>
                            <w:sz w:val="20"/>
                            <w:szCs w:val="20"/>
                          </w:rPr>
                          <w:t>-0.</w:t>
                        </w:r>
                        <w:r>
                          <w:rPr>
                            <w:sz w:val="20"/>
                            <w:szCs w:val="20"/>
                          </w:rPr>
                          <w:t>1</w:t>
                        </w:r>
                        <w:r w:rsidRPr="003E2152">
                          <w:rPr>
                            <w:sz w:val="20"/>
                            <w:szCs w:val="20"/>
                          </w:rPr>
                          <w:t>0</w:t>
                        </w:r>
                      </w:p>
                    </w:txbxContent>
                  </v:textbox>
                </v:rect>
                <v:rect id="Rectangle 75" o:spid="_x0000_s1065" style="position:absolute;left:6495;top:9182;width:1043;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5</w:t>
                        </w:r>
                        <w:r>
                          <w:rPr>
                            <w:sz w:val="20"/>
                            <w:szCs w:val="20"/>
                          </w:rPr>
                          <w:t>:</w:t>
                        </w:r>
                        <w:r w:rsidRPr="003E2152">
                          <w:rPr>
                            <w:sz w:val="20"/>
                            <w:szCs w:val="20"/>
                          </w:rPr>
                          <w:t>0.0</w:t>
                        </w:r>
                        <w:r>
                          <w:rPr>
                            <w:sz w:val="20"/>
                            <w:szCs w:val="20"/>
                          </w:rPr>
                          <w:t>9</w:t>
                        </w:r>
                      </w:p>
                    </w:txbxContent>
                  </v:textbox>
                </v:rect>
                <v:rect id="Rectangle 76" o:spid="_x0000_s1066" style="position:absolute;left:6940;top:7685;width:104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1</w:t>
                        </w:r>
                        <w:r>
                          <w:rPr>
                            <w:sz w:val="20"/>
                            <w:szCs w:val="20"/>
                            <w:vertAlign w:val="subscript"/>
                          </w:rPr>
                          <w:t>:</w:t>
                        </w:r>
                        <w:r w:rsidRPr="003E2152">
                          <w:rPr>
                            <w:sz w:val="20"/>
                            <w:szCs w:val="20"/>
                          </w:rPr>
                          <w:t>0.32</w:t>
                        </w:r>
                      </w:p>
                    </w:txbxContent>
                  </v:textbox>
                </v:rect>
                <v:rect id="Rectangle 77" o:spid="_x0000_s1067" style="position:absolute;left:6190;top:6907;width:1037;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F258EB" w:rsidRPr="003E2152" w:rsidRDefault="00F258EB" w:rsidP="00E216DA">
                        <w:pPr>
                          <w:rPr>
                            <w:sz w:val="20"/>
                            <w:szCs w:val="20"/>
                          </w:rPr>
                        </w:pPr>
                        <w:r w:rsidRPr="00822FFE">
                          <w:rPr>
                            <w:b/>
                            <w:sz w:val="20"/>
                            <w:szCs w:val="20"/>
                          </w:rPr>
                          <w:t>H</w:t>
                        </w:r>
                        <w:r w:rsidRPr="00822FFE">
                          <w:rPr>
                            <w:b/>
                            <w:sz w:val="20"/>
                            <w:szCs w:val="20"/>
                            <w:vertAlign w:val="subscript"/>
                          </w:rPr>
                          <w:t>3</w:t>
                        </w:r>
                        <w:r>
                          <w:rPr>
                            <w:sz w:val="20"/>
                            <w:szCs w:val="20"/>
                          </w:rPr>
                          <w:t>:</w:t>
                        </w:r>
                        <w:r w:rsidRPr="003E2152">
                          <w:rPr>
                            <w:sz w:val="20"/>
                            <w:szCs w:val="20"/>
                          </w:rPr>
                          <w:t>0.328</w:t>
                        </w:r>
                      </w:p>
                    </w:txbxContent>
                  </v:textbox>
                </v:rect>
                <v:rect id="Rectangle 78" o:spid="_x0000_s1068" style="position:absolute;left:4574;top:8244;width:11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F258EB" w:rsidRPr="003E2152" w:rsidRDefault="00F258EB" w:rsidP="00E216DA">
                        <w:pPr>
                          <w:rPr>
                            <w:sz w:val="20"/>
                            <w:szCs w:val="20"/>
                          </w:rPr>
                        </w:pPr>
                        <w:r w:rsidRPr="003E2152">
                          <w:rPr>
                            <w:sz w:val="20"/>
                            <w:szCs w:val="20"/>
                          </w:rPr>
                          <w:t xml:space="preserve"> </w:t>
                        </w:r>
                        <w:r w:rsidRPr="00822FFE">
                          <w:rPr>
                            <w:b/>
                            <w:sz w:val="20"/>
                            <w:szCs w:val="20"/>
                          </w:rPr>
                          <w:t>H</w:t>
                        </w:r>
                        <w:r w:rsidRPr="00822FFE">
                          <w:rPr>
                            <w:b/>
                            <w:sz w:val="20"/>
                            <w:szCs w:val="20"/>
                            <w:vertAlign w:val="subscript"/>
                          </w:rPr>
                          <w:t>7</w:t>
                        </w:r>
                        <w:r>
                          <w:rPr>
                            <w:sz w:val="20"/>
                            <w:szCs w:val="20"/>
                          </w:rPr>
                          <w:t>:</w:t>
                        </w:r>
                        <w:r w:rsidRPr="003E2152">
                          <w:rPr>
                            <w:sz w:val="20"/>
                            <w:szCs w:val="20"/>
                          </w:rPr>
                          <w:t>0.00</w:t>
                        </w:r>
                      </w:p>
                    </w:txbxContent>
                  </v:textbox>
                </v:rect>
                <v:rect id="Rectangle 79" o:spid="_x0000_s1069" style="position:absolute;left:1705;top:7611;width:98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F258EB" w:rsidRPr="00E216DA" w:rsidRDefault="00F258EB" w:rsidP="00E216DA">
                        <w:pPr>
                          <w:jc w:val="center"/>
                          <w:rPr>
                            <w:sz w:val="20"/>
                            <w:szCs w:val="20"/>
                          </w:rPr>
                        </w:pPr>
                        <w:r w:rsidRPr="00E216DA">
                          <w:rPr>
                            <w:sz w:val="20"/>
                            <w:szCs w:val="20"/>
                          </w:rPr>
                          <w:t>SIZE</w:t>
                        </w:r>
                      </w:p>
                    </w:txbxContent>
                  </v:textbox>
                </v:rect>
                <v:rect id="Rectangle 80" o:spid="_x0000_s1070" style="position:absolute;left:3955;top:6365;width:107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258EB" w:rsidRPr="00E216DA" w:rsidRDefault="00F258EB" w:rsidP="00E216DA">
                        <w:pPr>
                          <w:jc w:val="center"/>
                          <w:rPr>
                            <w:sz w:val="20"/>
                            <w:szCs w:val="20"/>
                          </w:rPr>
                        </w:pPr>
                        <w:r w:rsidRPr="00E216DA">
                          <w:rPr>
                            <w:sz w:val="20"/>
                            <w:szCs w:val="20"/>
                          </w:rPr>
                          <w:t>BOARD SIZE</w:t>
                        </w:r>
                      </w:p>
                    </w:txbxContent>
                  </v:textbox>
                </v:rect>
                <v:rect id="Rectangle 81" o:spid="_x0000_s1071" style="position:absolute;left:3955;top:8656;width:1079;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F258EB" w:rsidRPr="00E216DA" w:rsidRDefault="00F258EB" w:rsidP="00E216DA">
                        <w:pPr>
                          <w:jc w:val="center"/>
                          <w:rPr>
                            <w:sz w:val="20"/>
                            <w:szCs w:val="20"/>
                          </w:rPr>
                        </w:pPr>
                        <w:r w:rsidRPr="00E216DA">
                          <w:rPr>
                            <w:sz w:val="20"/>
                            <w:szCs w:val="20"/>
                          </w:rPr>
                          <w:t>DAR</w:t>
                        </w:r>
                      </w:p>
                    </w:txbxContent>
                  </v:textbox>
                </v:rect>
                <v:rect id="Rectangle 82" o:spid="_x0000_s1072" style="position:absolute;left:3955;top:10026;width:1079;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F258EB" w:rsidRPr="00E216DA" w:rsidRDefault="00F258EB" w:rsidP="00E216DA">
                        <w:pPr>
                          <w:jc w:val="center"/>
                          <w:rPr>
                            <w:sz w:val="20"/>
                            <w:szCs w:val="20"/>
                          </w:rPr>
                        </w:pPr>
                        <w:r w:rsidRPr="00E216DA">
                          <w:rPr>
                            <w:sz w:val="20"/>
                            <w:szCs w:val="20"/>
                          </w:rPr>
                          <w:t>ROA</w:t>
                        </w:r>
                      </w:p>
                    </w:txbxContent>
                  </v:textbox>
                </v:rect>
                <v:rect id="Rectangle 83" o:spid="_x0000_s1073" style="position:absolute;left:5821;top:7710;width:1178;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F258EB" w:rsidRPr="00822FFE" w:rsidRDefault="00F258EB" w:rsidP="00E216DA">
                        <w:pPr>
                          <w:jc w:val="center"/>
                          <w:rPr>
                            <w:sz w:val="20"/>
                            <w:szCs w:val="20"/>
                          </w:rPr>
                        </w:pPr>
                        <w:r w:rsidRPr="00822FFE">
                          <w:rPr>
                            <w:sz w:val="20"/>
                            <w:szCs w:val="20"/>
                          </w:rPr>
                          <w:t>PROPER</w:t>
                        </w:r>
                      </w:p>
                    </w:txbxContent>
                  </v:textbox>
                </v:rect>
                <v:rect id="Rectangle 84" o:spid="_x0000_s1074" style="position:absolute;left:8284;top:7710;width:78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F258EB" w:rsidRPr="00E216DA" w:rsidRDefault="00F258EB" w:rsidP="00E216DA">
                        <w:pPr>
                          <w:jc w:val="center"/>
                          <w:rPr>
                            <w:sz w:val="20"/>
                            <w:szCs w:val="20"/>
                          </w:rPr>
                        </w:pPr>
                        <w:r w:rsidRPr="00E216DA">
                          <w:rPr>
                            <w:sz w:val="20"/>
                            <w:szCs w:val="20"/>
                          </w:rPr>
                          <w:t>CED</w:t>
                        </w:r>
                      </w:p>
                    </w:txbxContent>
                  </v:textbox>
                </v:rect>
                <v:shape id="AutoShape 85" o:spid="_x0000_s1075" type="#_x0000_t32" style="position:absolute;left:2692;top:6666;width:1263;height:1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86" o:spid="_x0000_s1076" type="#_x0000_t32" style="position:absolute;left:2692;top:8020;width:1263;height:1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87" o:spid="_x0000_s1077" type="#_x0000_t32" style="position:absolute;left:2692;top:8020;width:1263;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88" o:spid="_x0000_s1078" type="#_x0000_t32" style="position:absolute;left:2692;top:7961;width: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89" o:spid="_x0000_s1079" type="#_x0000_t32" style="position:absolute;left:5034;top:8020;width:787;height:10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">
                  <v:stroke dashstyle="dash"/>
                </v:shape>
                <v:shape id="AutoShape 90" o:spid="_x0000_s1080" type="#_x0000_t32" style="position:absolute;left:5034;top:8089;width:787;height:22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AutoShape 91" o:spid="_x0000_s1081" type="#_x0000_t32" style="position:absolute;left:5034;top:6762;width:3250;height:1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92" o:spid="_x0000_s1082" type="#_x0000_t32" style="position:absolute;left:5034;top:8218;width:3204;height:2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">
                  <v:stroke dashstyle="dash"/>
                </v:shape>
                <v:shape id="AutoShape 93" o:spid="_x0000_s1083" type="#_x0000_t32" style="position:absolute;left:6999;top:7998;width:128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94" o:spid="_x0000_s1084" type="#_x0000_t32" style="position:absolute;left:5034;top:8089;width:3250;height:9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group>
            </w:pict>
          </mc:Fallback>
        </mc:AlternateContent>
      </w:r>
    </w:p>
    <w:p w:rsidR="00F22990" w:rsidRPr="00F22990" w:rsidRDefault="00F22990" w:rsidP="00F22990">
      <w:pPr>
        <w:jc w:val="both"/>
        <w:rPr>
          <w:b/>
          <w:sz w:val="22"/>
          <w:szCs w:val="22"/>
        </w:rPr>
      </w:pPr>
    </w:p>
    <w:p w:rsidR="00F22990" w:rsidRPr="00F22990" w:rsidRDefault="00F22990" w:rsidP="00F22990">
      <w:pPr>
        <w:jc w:val="both"/>
        <w:rPr>
          <w:b/>
          <w:sz w:val="22"/>
          <w:szCs w:val="22"/>
        </w:rPr>
      </w:pPr>
    </w:p>
    <w:p w:rsidR="00F22990" w:rsidRDefault="00F22990"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Pr="00F22990" w:rsidRDefault="00E216DA" w:rsidP="00F22990">
      <w:pPr>
        <w:jc w:val="both"/>
        <w:rPr>
          <w:b/>
          <w:sz w:val="22"/>
          <w:szCs w:val="22"/>
        </w:rPr>
      </w:pPr>
    </w:p>
    <w:p w:rsidR="00F22990" w:rsidRDefault="00F22990"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Default="00E216DA" w:rsidP="00F22990">
      <w:pPr>
        <w:jc w:val="both"/>
        <w:rPr>
          <w:b/>
          <w:sz w:val="22"/>
          <w:szCs w:val="22"/>
        </w:rPr>
      </w:pPr>
    </w:p>
    <w:p w:rsidR="00E216DA" w:rsidRPr="00F22990" w:rsidRDefault="00E216DA" w:rsidP="00F22990">
      <w:pPr>
        <w:jc w:val="both"/>
        <w:rPr>
          <w:b/>
          <w:sz w:val="22"/>
          <w:szCs w:val="22"/>
        </w:rPr>
      </w:pPr>
    </w:p>
    <w:p w:rsidR="00F22990" w:rsidRDefault="00F22990" w:rsidP="00F22990">
      <w:pPr>
        <w:jc w:val="both"/>
        <w:rPr>
          <w:b/>
          <w:sz w:val="22"/>
          <w:szCs w:val="22"/>
        </w:rPr>
      </w:pPr>
    </w:p>
    <w:p w:rsidR="00F22990" w:rsidRPr="00F22990" w:rsidRDefault="00EF65BC" w:rsidP="00F22990">
      <w:pPr>
        <w:jc w:val="both"/>
        <w:rPr>
          <w:sz w:val="22"/>
          <w:szCs w:val="22"/>
        </w:rPr>
      </w:pPr>
      <w:r>
        <w:rPr>
          <w:b/>
          <w:noProof/>
          <w:sz w:val="22"/>
          <w:szCs w:val="22"/>
        </w:rPr>
        <mc:AlternateContent>
          <mc:Choice Requires="wps">
            <w:drawing>
              <wp:anchor distT="4294967295" distB="4294967295" distL="114300" distR="114300" simplePos="0" relativeHeight="251662336" behindDoc="0" locked="0" layoutInCell="1" allowOverlap="1" wp14:anchorId="194E591E">
                <wp:simplePos x="0" y="0"/>
                <wp:positionH relativeFrom="column">
                  <wp:posOffset>260985</wp:posOffset>
                </wp:positionH>
                <wp:positionV relativeFrom="paragraph">
                  <wp:posOffset>116839</wp:posOffset>
                </wp:positionV>
                <wp:extent cx="105219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6511F" id="Straight Arrow Connector 9" o:spid="_x0000_s1026" type="#_x0000_t32" style="position:absolute;margin-left:20.55pt;margin-top:9.2pt;width:82.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" strokeweight="1pt">
                <v:stroke dashstyle="dash"/>
              </v:shape>
            </w:pict>
          </mc:Fallback>
        </mc:AlternateContent>
      </w:r>
      <w:r w:rsidR="00F22990" w:rsidRPr="00F22990">
        <w:rPr>
          <w:b/>
          <w:sz w:val="22"/>
          <w:szCs w:val="22"/>
        </w:rPr>
        <w:tab/>
      </w:r>
      <w:r w:rsidR="00F22990" w:rsidRPr="00F22990">
        <w:rPr>
          <w:b/>
          <w:sz w:val="22"/>
          <w:szCs w:val="22"/>
        </w:rPr>
        <w:tab/>
      </w:r>
      <w:r w:rsidR="00F22990" w:rsidRPr="00F22990">
        <w:rPr>
          <w:b/>
          <w:sz w:val="22"/>
          <w:szCs w:val="22"/>
        </w:rPr>
        <w:tab/>
        <w:t xml:space="preserve">: </w:t>
      </w:r>
      <w:r w:rsidR="00F22990" w:rsidRPr="00F22990">
        <w:rPr>
          <w:sz w:val="22"/>
          <w:szCs w:val="22"/>
        </w:rPr>
        <w:t>Null Hypothesis</w:t>
      </w:r>
    </w:p>
    <w:p w:rsidR="00F22990" w:rsidRPr="00F22990" w:rsidRDefault="00EF65BC" w:rsidP="00F22990">
      <w:pPr>
        <w:jc w:val="both"/>
        <w:rPr>
          <w:sz w:val="22"/>
          <w:szCs w:val="22"/>
        </w:rPr>
      </w:pPr>
      <w:r>
        <w:rPr>
          <w:b/>
          <w:noProof/>
          <w:sz w:val="22"/>
          <w:szCs w:val="22"/>
        </w:rPr>
        <mc:AlternateContent>
          <mc:Choice Requires="wps">
            <w:drawing>
              <wp:anchor distT="4294967295" distB="4294967295" distL="114300" distR="114300" simplePos="0" relativeHeight="251661312" behindDoc="0" locked="0" layoutInCell="1" allowOverlap="1" wp14:anchorId="62DC3297">
                <wp:simplePos x="0" y="0"/>
                <wp:positionH relativeFrom="column">
                  <wp:posOffset>259715</wp:posOffset>
                </wp:positionH>
                <wp:positionV relativeFrom="paragraph">
                  <wp:posOffset>100964</wp:posOffset>
                </wp:positionV>
                <wp:extent cx="1052195" cy="0"/>
                <wp:effectExtent l="0" t="76200" r="0"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0D7F8" id="Straight Arrow Connector 1" o:spid="_x0000_s1026" type="#_x0000_t32" style="position:absolute;margin-left:20.45pt;margin-top:7.95pt;width:82.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" strokeweight="1pt">
                <v:stroke endarrow="block"/>
              </v:shape>
            </w:pict>
          </mc:Fallback>
        </mc:AlternateContent>
      </w:r>
      <w:r w:rsidR="00F22990" w:rsidRPr="00F22990">
        <w:rPr>
          <w:sz w:val="22"/>
          <w:szCs w:val="22"/>
        </w:rPr>
        <w:tab/>
      </w:r>
      <w:r w:rsidR="00F22990" w:rsidRPr="00F22990">
        <w:rPr>
          <w:sz w:val="22"/>
          <w:szCs w:val="22"/>
        </w:rPr>
        <w:tab/>
      </w:r>
      <w:r w:rsidR="00F22990" w:rsidRPr="00F22990">
        <w:rPr>
          <w:sz w:val="22"/>
          <w:szCs w:val="22"/>
        </w:rPr>
        <w:tab/>
        <w:t>: Alternative Hypothesis</w:t>
      </w:r>
    </w:p>
    <w:p w:rsidR="00F22990" w:rsidRPr="00F22990" w:rsidRDefault="00F22990" w:rsidP="00F22990">
      <w:pPr>
        <w:jc w:val="center"/>
        <w:rPr>
          <w:b/>
          <w:sz w:val="22"/>
          <w:szCs w:val="22"/>
        </w:rPr>
      </w:pPr>
    </w:p>
    <w:p w:rsidR="00CF5A9D" w:rsidRDefault="00F22990" w:rsidP="00CF5A9D">
      <w:pPr>
        <w:rPr>
          <w:sz w:val="22"/>
          <w:szCs w:val="22"/>
        </w:rPr>
      </w:pPr>
      <w:r w:rsidRPr="00F22990">
        <w:rPr>
          <w:b/>
          <w:sz w:val="22"/>
          <w:szCs w:val="22"/>
        </w:rPr>
        <w:t>Figure 2:</w:t>
      </w:r>
      <w:r w:rsidRPr="00F22990">
        <w:rPr>
          <w:sz w:val="22"/>
          <w:szCs w:val="22"/>
        </w:rPr>
        <w:t xml:space="preserve"> Model for </w:t>
      </w:r>
      <w:r w:rsidR="003950C8">
        <w:rPr>
          <w:sz w:val="22"/>
          <w:szCs w:val="22"/>
        </w:rPr>
        <w:t>i</w:t>
      </w:r>
      <w:r w:rsidRPr="00F22990">
        <w:rPr>
          <w:sz w:val="22"/>
          <w:szCs w:val="22"/>
        </w:rPr>
        <w:t xml:space="preserve">mproving </w:t>
      </w:r>
      <w:r w:rsidR="003950C8">
        <w:rPr>
          <w:sz w:val="22"/>
          <w:szCs w:val="22"/>
        </w:rPr>
        <w:t>c</w:t>
      </w:r>
      <w:r w:rsidRPr="00F22990">
        <w:rPr>
          <w:sz w:val="22"/>
          <w:szCs w:val="22"/>
        </w:rPr>
        <w:t xml:space="preserve">arbon </w:t>
      </w:r>
      <w:r w:rsidR="003950C8">
        <w:rPr>
          <w:sz w:val="22"/>
          <w:szCs w:val="22"/>
        </w:rPr>
        <w:t>e</w:t>
      </w:r>
      <w:r w:rsidRPr="00F22990">
        <w:rPr>
          <w:sz w:val="22"/>
          <w:szCs w:val="22"/>
        </w:rPr>
        <w:t xml:space="preserve">mission </w:t>
      </w:r>
      <w:r w:rsidR="003950C8">
        <w:rPr>
          <w:sz w:val="22"/>
          <w:szCs w:val="22"/>
        </w:rPr>
        <w:t>d</w:t>
      </w:r>
      <w:r w:rsidRPr="00F22990">
        <w:rPr>
          <w:sz w:val="22"/>
          <w:szCs w:val="22"/>
        </w:rPr>
        <w:t>isclosure</w:t>
      </w:r>
    </w:p>
    <w:p w:rsidR="00CB5FD4" w:rsidRDefault="00CB5FD4" w:rsidP="00F22990">
      <w:pPr>
        <w:contextualSpacing/>
        <w:jc w:val="both"/>
        <w:rPr>
          <w:b/>
          <w:sz w:val="22"/>
          <w:szCs w:val="22"/>
        </w:rPr>
      </w:pPr>
    </w:p>
    <w:p w:rsidR="00F22990" w:rsidRPr="00F22990" w:rsidRDefault="00F22990" w:rsidP="00F22990">
      <w:pPr>
        <w:contextualSpacing/>
        <w:jc w:val="both"/>
        <w:rPr>
          <w:b/>
          <w:sz w:val="22"/>
          <w:szCs w:val="22"/>
        </w:rPr>
      </w:pPr>
      <w:r w:rsidRPr="00F22990">
        <w:rPr>
          <w:b/>
          <w:sz w:val="22"/>
          <w:szCs w:val="22"/>
        </w:rPr>
        <w:t>Goodness of Fit Test</w:t>
      </w:r>
    </w:p>
    <w:p w:rsidR="00F22990" w:rsidRPr="00F22990" w:rsidRDefault="00F22990" w:rsidP="00F22990">
      <w:pPr>
        <w:contextualSpacing/>
        <w:jc w:val="both"/>
        <w:rPr>
          <w:sz w:val="22"/>
          <w:szCs w:val="22"/>
        </w:rPr>
      </w:pPr>
    </w:p>
    <w:p w:rsidR="00F22990" w:rsidRPr="00F22990" w:rsidRDefault="00F22990" w:rsidP="00F22990">
      <w:pPr>
        <w:contextualSpacing/>
        <w:jc w:val="both"/>
        <w:rPr>
          <w:sz w:val="22"/>
          <w:szCs w:val="22"/>
        </w:rPr>
      </w:pPr>
      <w:r w:rsidRPr="00F22990">
        <w:rPr>
          <w:sz w:val="22"/>
          <w:szCs w:val="22"/>
        </w:rPr>
        <w:t xml:space="preserve">Multivariate normality analysis indicates that the distribution of </w:t>
      </w:r>
      <w:proofErr w:type="spellStart"/>
      <w:r w:rsidRPr="00F22990">
        <w:rPr>
          <w:sz w:val="22"/>
          <w:szCs w:val="22"/>
        </w:rPr>
        <w:t>ROA</w:t>
      </w:r>
      <w:proofErr w:type="spellEnd"/>
      <w:r w:rsidRPr="00F22990">
        <w:rPr>
          <w:sz w:val="22"/>
          <w:szCs w:val="22"/>
        </w:rPr>
        <w:t xml:space="preserve"> has kurtosis coefficient of 10.3</w:t>
      </w:r>
      <w:r w:rsidR="003950C8">
        <w:rPr>
          <w:sz w:val="22"/>
          <w:szCs w:val="22"/>
        </w:rPr>
        <w:t>7</w:t>
      </w:r>
      <w:r w:rsidRPr="00F22990">
        <w:rPr>
          <w:sz w:val="22"/>
          <w:szCs w:val="22"/>
        </w:rPr>
        <w:t xml:space="preserve"> exceeding the coefficient of 10 as a maximum value. Multivariate kurtosis shows the number of 32.3</w:t>
      </w:r>
      <w:r w:rsidR="003950C8">
        <w:rPr>
          <w:sz w:val="22"/>
          <w:szCs w:val="22"/>
        </w:rPr>
        <w:t>8</w:t>
      </w:r>
      <w:r w:rsidRPr="00F22990">
        <w:rPr>
          <w:sz w:val="22"/>
          <w:szCs w:val="22"/>
        </w:rPr>
        <w:t xml:space="preserve"> with 19.8</w:t>
      </w:r>
      <w:r w:rsidR="003950C8">
        <w:rPr>
          <w:sz w:val="22"/>
          <w:szCs w:val="22"/>
        </w:rPr>
        <w:t>3</w:t>
      </w:r>
      <w:r w:rsidRPr="00F22990">
        <w:rPr>
          <w:sz w:val="22"/>
          <w:szCs w:val="22"/>
        </w:rPr>
        <w:t xml:space="preserve"> of </w:t>
      </w:r>
      <w:proofErr w:type="spellStart"/>
      <w:r w:rsidRPr="00F22990">
        <w:rPr>
          <w:sz w:val="22"/>
          <w:szCs w:val="22"/>
        </w:rPr>
        <w:t>c.r.</w:t>
      </w:r>
      <w:proofErr w:type="spellEnd"/>
      <w:r w:rsidRPr="00F22990">
        <w:rPr>
          <w:sz w:val="22"/>
          <w:szCs w:val="22"/>
        </w:rPr>
        <w:t xml:space="preserve"> indicates that multivariate data distribution is not normal. To overcome this issue, this study conducted 2,000 bootstrapping in performing path analysis. The result of the analysis shows that </w:t>
      </w:r>
      <w:proofErr w:type="spellStart"/>
      <w:r w:rsidRPr="00F22990">
        <w:rPr>
          <w:sz w:val="22"/>
          <w:szCs w:val="22"/>
        </w:rPr>
        <w:t>Bollen</w:t>
      </w:r>
      <w:proofErr w:type="spellEnd"/>
      <w:r w:rsidRPr="00F22990">
        <w:rPr>
          <w:sz w:val="22"/>
          <w:szCs w:val="22"/>
        </w:rPr>
        <w:t xml:space="preserve">-Stine bootstrap </w:t>
      </w:r>
      <w:r w:rsidRPr="00F22990">
        <w:rPr>
          <w:i/>
          <w:sz w:val="22"/>
          <w:szCs w:val="22"/>
        </w:rPr>
        <w:t>p</w:t>
      </w:r>
      <w:r w:rsidRPr="00F22990">
        <w:rPr>
          <w:sz w:val="22"/>
          <w:szCs w:val="22"/>
        </w:rPr>
        <w:t xml:space="preserve"> is 0.255 (</w:t>
      </w:r>
      <w:r w:rsidRPr="00F22990">
        <w:rPr>
          <w:i/>
          <w:sz w:val="22"/>
          <w:szCs w:val="22"/>
        </w:rPr>
        <w:t>p</w:t>
      </w:r>
      <w:r w:rsidRPr="00F22990">
        <w:rPr>
          <w:sz w:val="22"/>
          <w:szCs w:val="22"/>
        </w:rPr>
        <w:t xml:space="preserve">&gt;0.05) which means that path analysis can still be carried out. </w:t>
      </w:r>
    </w:p>
    <w:p w:rsidR="00F22990" w:rsidRPr="00F22990" w:rsidRDefault="00F22990" w:rsidP="00F22990">
      <w:pPr>
        <w:ind w:firstLine="360"/>
        <w:contextualSpacing/>
        <w:jc w:val="both"/>
        <w:rPr>
          <w:sz w:val="22"/>
          <w:szCs w:val="22"/>
        </w:rPr>
      </w:pPr>
      <w:r w:rsidRPr="00F22990">
        <w:rPr>
          <w:sz w:val="22"/>
          <w:szCs w:val="22"/>
        </w:rPr>
        <w:t xml:space="preserve">This study applies seven indices to examine the goodness of fit </w:t>
      </w:r>
      <w:r w:rsidRPr="00F22990">
        <w:rPr>
          <w:i/>
          <w:sz w:val="22"/>
          <w:szCs w:val="22"/>
        </w:rPr>
        <w:t>i.e.</w:t>
      </w:r>
      <w:r w:rsidRPr="00F22990">
        <w:rPr>
          <w:sz w:val="22"/>
          <w:szCs w:val="22"/>
        </w:rPr>
        <w:t xml:space="preserve"> </w:t>
      </w:r>
      <w:proofErr w:type="spellStart"/>
      <w:r w:rsidRPr="00F22990">
        <w:rPr>
          <w:sz w:val="22"/>
          <w:szCs w:val="22"/>
        </w:rPr>
        <w:t>CMIN</w:t>
      </w:r>
      <w:proofErr w:type="spellEnd"/>
      <w:r w:rsidRPr="00F22990">
        <w:rPr>
          <w:sz w:val="22"/>
          <w:szCs w:val="22"/>
        </w:rPr>
        <w:t xml:space="preserve">, </w:t>
      </w:r>
      <w:proofErr w:type="spellStart"/>
      <w:r w:rsidRPr="00F22990">
        <w:rPr>
          <w:sz w:val="22"/>
          <w:szCs w:val="22"/>
        </w:rPr>
        <w:t>CMIN</w:t>
      </w:r>
      <w:proofErr w:type="spellEnd"/>
      <w:r w:rsidRPr="00F22990">
        <w:rPr>
          <w:sz w:val="22"/>
          <w:szCs w:val="22"/>
        </w:rPr>
        <w:t>/</w:t>
      </w:r>
      <w:proofErr w:type="spellStart"/>
      <w:r w:rsidRPr="00F22990">
        <w:rPr>
          <w:sz w:val="22"/>
          <w:szCs w:val="22"/>
        </w:rPr>
        <w:t>d.f.</w:t>
      </w:r>
      <w:proofErr w:type="spellEnd"/>
      <w:r w:rsidRPr="00F22990">
        <w:rPr>
          <w:sz w:val="22"/>
          <w:szCs w:val="22"/>
        </w:rPr>
        <w:t xml:space="preserve">, </w:t>
      </w:r>
      <w:proofErr w:type="spellStart"/>
      <w:r w:rsidRPr="00F22990">
        <w:rPr>
          <w:sz w:val="22"/>
          <w:szCs w:val="22"/>
        </w:rPr>
        <w:t>GFI</w:t>
      </w:r>
      <w:proofErr w:type="spellEnd"/>
      <w:r w:rsidRPr="00F22990">
        <w:rPr>
          <w:sz w:val="22"/>
          <w:szCs w:val="22"/>
        </w:rPr>
        <w:t xml:space="preserve">, </w:t>
      </w:r>
      <w:proofErr w:type="spellStart"/>
      <w:r w:rsidRPr="00F22990">
        <w:rPr>
          <w:sz w:val="22"/>
          <w:szCs w:val="22"/>
        </w:rPr>
        <w:t>AGFI</w:t>
      </w:r>
      <w:proofErr w:type="spellEnd"/>
      <w:r w:rsidRPr="00F22990">
        <w:rPr>
          <w:sz w:val="22"/>
          <w:szCs w:val="22"/>
        </w:rPr>
        <w:t xml:space="preserve">, </w:t>
      </w:r>
      <w:proofErr w:type="spellStart"/>
      <w:r w:rsidRPr="00F22990">
        <w:rPr>
          <w:sz w:val="22"/>
          <w:szCs w:val="22"/>
        </w:rPr>
        <w:t>NFI</w:t>
      </w:r>
      <w:proofErr w:type="spellEnd"/>
      <w:r w:rsidRPr="00F22990">
        <w:rPr>
          <w:sz w:val="22"/>
          <w:szCs w:val="22"/>
        </w:rPr>
        <w:t xml:space="preserve">, CFI and </w:t>
      </w:r>
      <w:proofErr w:type="spellStart"/>
      <w:r w:rsidRPr="00F22990">
        <w:rPr>
          <w:sz w:val="22"/>
          <w:szCs w:val="22"/>
        </w:rPr>
        <w:t>RMESEA</w:t>
      </w:r>
      <w:proofErr w:type="spellEnd"/>
      <w:r w:rsidRPr="00F22990">
        <w:rPr>
          <w:sz w:val="22"/>
          <w:szCs w:val="22"/>
        </w:rPr>
        <w:t xml:space="preserve"> (</w:t>
      </w:r>
      <w:proofErr w:type="spellStart"/>
      <w:r w:rsidRPr="00F22990">
        <w:rPr>
          <w:sz w:val="22"/>
          <w:szCs w:val="22"/>
        </w:rPr>
        <w:t>Yanto</w:t>
      </w:r>
      <w:proofErr w:type="spellEnd"/>
      <w:r w:rsidRPr="00F22990">
        <w:rPr>
          <w:sz w:val="22"/>
          <w:szCs w:val="22"/>
        </w:rPr>
        <w:t xml:space="preserve"> et al., 2016). The results of analysis point out that all indices display satisfying coefficients. In other words, the model developed for this study has met the fit requirements. Table 4 presents further information on all indexes of goodness of fit.</w:t>
      </w:r>
    </w:p>
    <w:p w:rsidR="00330B2F" w:rsidRDefault="00330B2F" w:rsidP="00F22990">
      <w:pPr>
        <w:jc w:val="both"/>
        <w:rPr>
          <w:b/>
          <w:sz w:val="22"/>
          <w:szCs w:val="22"/>
        </w:rPr>
      </w:pPr>
    </w:p>
    <w:p w:rsidR="00F22990" w:rsidRPr="00F22990" w:rsidRDefault="00F22990" w:rsidP="00491834">
      <w:pPr>
        <w:spacing w:after="120"/>
        <w:jc w:val="both"/>
        <w:rPr>
          <w:sz w:val="22"/>
          <w:szCs w:val="22"/>
        </w:rPr>
      </w:pPr>
      <w:r w:rsidRPr="00F22990">
        <w:rPr>
          <w:b/>
          <w:sz w:val="22"/>
          <w:szCs w:val="22"/>
        </w:rPr>
        <w:lastRenderedPageBreak/>
        <w:t>Table 4:</w:t>
      </w:r>
      <w:r w:rsidRPr="00F22990">
        <w:rPr>
          <w:sz w:val="22"/>
          <w:szCs w:val="22"/>
        </w:rPr>
        <w:t xml:space="preserve"> Goodness of </w:t>
      </w:r>
      <w:r w:rsidR="00CB5FD4">
        <w:rPr>
          <w:sz w:val="22"/>
          <w:szCs w:val="22"/>
        </w:rPr>
        <w:t>f</w:t>
      </w:r>
      <w:r w:rsidRPr="00F22990">
        <w:rPr>
          <w:sz w:val="22"/>
          <w:szCs w:val="22"/>
        </w:rPr>
        <w:t>it</w:t>
      </w:r>
    </w:p>
    <w:tbl>
      <w:tblPr>
        <w:tblW w:w="5000" w:type="pct"/>
        <w:tblCellMar>
          <w:left w:w="0" w:type="dxa"/>
          <w:right w:w="0" w:type="dxa"/>
        </w:tblCellMar>
        <w:tblLook w:val="04A0" w:firstRow="1" w:lastRow="0" w:firstColumn="1" w:lastColumn="0" w:noHBand="0" w:noVBand="1"/>
      </w:tblPr>
      <w:tblGrid>
        <w:gridCol w:w="1603"/>
        <w:gridCol w:w="795"/>
        <w:gridCol w:w="1798"/>
        <w:gridCol w:w="671"/>
        <w:gridCol w:w="1167"/>
        <w:gridCol w:w="395"/>
        <w:gridCol w:w="892"/>
      </w:tblGrid>
      <w:tr w:rsidR="00F22990" w:rsidRPr="00CB5FD4" w:rsidTr="00CB5FD4">
        <w:trPr>
          <w:trHeight w:val="188"/>
        </w:trPr>
        <w:tc>
          <w:tcPr>
            <w:tcW w:w="1095" w:type="pct"/>
            <w:tcBorders>
              <w:top w:val="single" w:sz="4" w:space="0" w:color="auto"/>
              <w:left w:val="nil"/>
              <w:bottom w:val="single" w:sz="4" w:space="0" w:color="auto"/>
              <w:right w:val="single" w:sz="4" w:space="0" w:color="FFFFFF" w:themeColor="background1"/>
            </w:tcBorders>
            <w:shd w:val="clear" w:color="auto" w:fill="FFFFFF" w:themeFill="background1"/>
            <w:noWrap/>
            <w:vAlign w:val="center"/>
            <w:hideMark/>
          </w:tcPr>
          <w:p w:rsidR="00F22990" w:rsidRPr="00CB5FD4" w:rsidRDefault="00F22990" w:rsidP="00CB5FD4">
            <w:pPr>
              <w:jc w:val="both"/>
              <w:rPr>
                <w:color w:val="000000"/>
                <w:sz w:val="20"/>
                <w:szCs w:val="20"/>
              </w:rPr>
            </w:pPr>
            <w:r w:rsidRPr="00CB5FD4">
              <w:rPr>
                <w:color w:val="000000"/>
                <w:sz w:val="20"/>
                <w:szCs w:val="20"/>
              </w:rPr>
              <w:t>Index</w:t>
            </w:r>
          </w:p>
        </w:tc>
        <w:tc>
          <w:tcPr>
            <w:tcW w:w="543" w:type="pct"/>
            <w:tcBorders>
              <w:top w:val="single" w:sz="4" w:space="0" w:color="auto"/>
              <w:left w:val="single" w:sz="4" w:space="0" w:color="FFFFFF" w:themeColor="background1"/>
              <w:bottom w:val="single" w:sz="4" w:space="0" w:color="auto"/>
              <w:right w:val="nil"/>
            </w:tcBorders>
            <w:shd w:val="clear" w:color="auto" w:fill="FFFFFF" w:themeFill="background1"/>
            <w:vAlign w:val="center"/>
          </w:tcPr>
          <w:p w:rsidR="00F22990" w:rsidRPr="00CB5FD4" w:rsidRDefault="00F22990" w:rsidP="00CB5FD4">
            <w:pPr>
              <w:jc w:val="both"/>
              <w:rPr>
                <w:color w:val="000000"/>
                <w:sz w:val="20"/>
                <w:szCs w:val="20"/>
              </w:rPr>
            </w:pPr>
          </w:p>
        </w:tc>
        <w:tc>
          <w:tcPr>
            <w:tcW w:w="1228" w:type="pct"/>
            <w:tcBorders>
              <w:top w:val="single" w:sz="4" w:space="0" w:color="auto"/>
              <w:left w:val="nil"/>
              <w:bottom w:val="single" w:sz="4" w:space="0" w:color="auto"/>
              <w:right w:val="single" w:sz="4" w:space="0" w:color="FFFFFF" w:themeColor="background1"/>
            </w:tcBorders>
            <w:shd w:val="clear" w:color="auto" w:fill="FFFFFF" w:themeFill="background1"/>
            <w:noWrap/>
            <w:vAlign w:val="center"/>
            <w:hideMark/>
          </w:tcPr>
          <w:p w:rsidR="00F22990" w:rsidRPr="00CB5FD4" w:rsidRDefault="00F22990" w:rsidP="00CB5FD4">
            <w:pPr>
              <w:jc w:val="center"/>
              <w:rPr>
                <w:color w:val="000000"/>
                <w:sz w:val="20"/>
                <w:szCs w:val="20"/>
              </w:rPr>
            </w:pPr>
            <w:r w:rsidRPr="00CB5FD4">
              <w:rPr>
                <w:color w:val="000000"/>
                <w:sz w:val="20"/>
                <w:szCs w:val="20"/>
              </w:rPr>
              <w:t>Cut-off</w:t>
            </w:r>
          </w:p>
        </w:tc>
        <w:tc>
          <w:tcPr>
            <w:tcW w:w="458" w:type="pct"/>
            <w:tcBorders>
              <w:top w:val="single" w:sz="4" w:space="0" w:color="auto"/>
              <w:left w:val="single" w:sz="4" w:space="0" w:color="FFFFFF" w:themeColor="background1"/>
              <w:bottom w:val="single" w:sz="4" w:space="0" w:color="auto"/>
              <w:right w:val="nil"/>
            </w:tcBorders>
            <w:shd w:val="clear" w:color="auto" w:fill="FFFFFF" w:themeFill="background1"/>
            <w:vAlign w:val="center"/>
          </w:tcPr>
          <w:p w:rsidR="00F22990" w:rsidRPr="00CB5FD4" w:rsidRDefault="00F22990" w:rsidP="00CB5FD4">
            <w:pPr>
              <w:jc w:val="both"/>
              <w:rPr>
                <w:color w:val="000000"/>
                <w:sz w:val="20"/>
                <w:szCs w:val="20"/>
              </w:rPr>
            </w:pPr>
          </w:p>
        </w:tc>
        <w:tc>
          <w:tcPr>
            <w:tcW w:w="797" w:type="pct"/>
            <w:tcBorders>
              <w:top w:val="single" w:sz="4" w:space="0" w:color="auto"/>
              <w:left w:val="nil"/>
              <w:bottom w:val="single" w:sz="4" w:space="0" w:color="auto"/>
              <w:right w:val="single" w:sz="4" w:space="0" w:color="FFFFFF" w:themeColor="background1"/>
            </w:tcBorders>
            <w:shd w:val="clear" w:color="auto" w:fill="FFFFFF" w:themeFill="background1"/>
            <w:noWrap/>
            <w:vAlign w:val="center"/>
            <w:hideMark/>
          </w:tcPr>
          <w:p w:rsidR="00F22990" w:rsidRPr="00CB5FD4" w:rsidRDefault="00F22990" w:rsidP="00CB5FD4">
            <w:pPr>
              <w:jc w:val="both"/>
              <w:rPr>
                <w:color w:val="000000"/>
                <w:sz w:val="20"/>
                <w:szCs w:val="20"/>
              </w:rPr>
            </w:pPr>
            <w:r w:rsidRPr="00CB5FD4">
              <w:rPr>
                <w:color w:val="000000"/>
                <w:sz w:val="20"/>
                <w:szCs w:val="20"/>
              </w:rPr>
              <w:t>Result</w:t>
            </w:r>
          </w:p>
        </w:tc>
        <w:tc>
          <w:tcPr>
            <w:tcW w:w="270" w:type="pct"/>
            <w:tcBorders>
              <w:top w:val="single" w:sz="4" w:space="0" w:color="auto"/>
              <w:left w:val="single" w:sz="4" w:space="0" w:color="FFFFFF" w:themeColor="background1"/>
              <w:bottom w:val="single" w:sz="4" w:space="0" w:color="auto"/>
              <w:right w:val="nil"/>
            </w:tcBorders>
            <w:shd w:val="clear" w:color="auto" w:fill="FFFFFF" w:themeFill="background1"/>
            <w:vAlign w:val="center"/>
          </w:tcPr>
          <w:p w:rsidR="00F22990" w:rsidRPr="00CB5FD4" w:rsidRDefault="00F22990" w:rsidP="00CB5FD4">
            <w:pPr>
              <w:jc w:val="both"/>
              <w:rPr>
                <w:color w:val="000000"/>
                <w:sz w:val="20"/>
                <w:szCs w:val="20"/>
              </w:rPr>
            </w:pPr>
          </w:p>
        </w:tc>
        <w:tc>
          <w:tcPr>
            <w:tcW w:w="609" w:type="pct"/>
            <w:tcBorders>
              <w:top w:val="single" w:sz="4" w:space="0" w:color="auto"/>
              <w:left w:val="nil"/>
              <w:bottom w:val="single" w:sz="4" w:space="0" w:color="auto"/>
              <w:right w:val="nil"/>
            </w:tcBorders>
            <w:shd w:val="clear" w:color="auto" w:fill="FFFFFF" w:themeFill="background1"/>
            <w:noWrap/>
            <w:hideMark/>
          </w:tcPr>
          <w:p w:rsidR="00F22990" w:rsidRPr="00CB5FD4" w:rsidRDefault="00F22990" w:rsidP="00CB5FD4">
            <w:pPr>
              <w:jc w:val="right"/>
              <w:rPr>
                <w:color w:val="000000"/>
                <w:sz w:val="20"/>
                <w:szCs w:val="20"/>
              </w:rPr>
            </w:pPr>
            <w:r w:rsidRPr="00CB5FD4">
              <w:rPr>
                <w:color w:val="000000"/>
                <w:sz w:val="20"/>
                <w:szCs w:val="20"/>
              </w:rPr>
              <w:t>Remark</w:t>
            </w:r>
          </w:p>
        </w:tc>
      </w:tr>
      <w:tr w:rsidR="00F22990" w:rsidRPr="00CB5FD4" w:rsidTr="00CB5FD4">
        <w:trPr>
          <w:trHeight w:val="92"/>
        </w:trPr>
        <w:tc>
          <w:tcPr>
            <w:tcW w:w="1095" w:type="pct"/>
            <w:tcBorders>
              <w:top w:val="nil"/>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proofErr w:type="spellStart"/>
            <w:r w:rsidRPr="00CB5FD4">
              <w:rPr>
                <w:color w:val="000000"/>
                <w:sz w:val="20"/>
                <w:szCs w:val="20"/>
              </w:rPr>
              <w:t>CMIN</w:t>
            </w:r>
            <w:proofErr w:type="spellEnd"/>
          </w:p>
        </w:tc>
        <w:tc>
          <w:tcPr>
            <w:tcW w:w="543" w:type="pct"/>
            <w:tcBorders>
              <w:top w:val="nil"/>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nil"/>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Insignificant</w:t>
            </w:r>
          </w:p>
        </w:tc>
        <w:tc>
          <w:tcPr>
            <w:tcW w:w="458" w:type="pct"/>
            <w:tcBorders>
              <w:top w:val="nil"/>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nil"/>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0.112</w:t>
            </w:r>
          </w:p>
        </w:tc>
        <w:tc>
          <w:tcPr>
            <w:tcW w:w="270" w:type="pct"/>
            <w:tcBorders>
              <w:top w:val="nil"/>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nil"/>
              <w:left w:val="nil"/>
              <w:bottom w:val="single" w:sz="4" w:space="0" w:color="FFFFFF" w:themeColor="background1"/>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r w:rsidR="00F22990" w:rsidRPr="00CB5FD4" w:rsidTr="00CB5FD4">
        <w:trPr>
          <w:trHeight w:val="60"/>
        </w:trPr>
        <w:tc>
          <w:tcPr>
            <w:tcW w:w="1095"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proofErr w:type="spellStart"/>
            <w:r w:rsidRPr="00CB5FD4">
              <w:rPr>
                <w:color w:val="000000"/>
                <w:sz w:val="20"/>
                <w:szCs w:val="20"/>
              </w:rPr>
              <w:t>CMIN</w:t>
            </w:r>
            <w:proofErr w:type="spellEnd"/>
            <w:r w:rsidRPr="00CB5FD4">
              <w:rPr>
                <w:color w:val="000000"/>
                <w:sz w:val="20"/>
                <w:szCs w:val="20"/>
              </w:rPr>
              <w:t>/</w:t>
            </w:r>
            <w:proofErr w:type="spellStart"/>
            <w:r w:rsidRPr="00CB5FD4">
              <w:rPr>
                <w:color w:val="000000"/>
                <w:sz w:val="20"/>
                <w:szCs w:val="20"/>
              </w:rPr>
              <w:t>d.f.</w:t>
            </w:r>
            <w:proofErr w:type="spellEnd"/>
          </w:p>
        </w:tc>
        <w:tc>
          <w:tcPr>
            <w:tcW w:w="54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&lt; 2.0</w:t>
            </w:r>
          </w:p>
        </w:tc>
        <w:tc>
          <w:tcPr>
            <w:tcW w:w="458"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1.921</w:t>
            </w:r>
          </w:p>
        </w:tc>
        <w:tc>
          <w:tcPr>
            <w:tcW w:w="2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r w:rsidR="00F22990" w:rsidRPr="00CB5FD4" w:rsidTr="00CB5FD4">
        <w:trPr>
          <w:trHeight w:val="60"/>
        </w:trPr>
        <w:tc>
          <w:tcPr>
            <w:tcW w:w="1095"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proofErr w:type="spellStart"/>
            <w:r w:rsidRPr="00CB5FD4">
              <w:rPr>
                <w:color w:val="000000"/>
                <w:sz w:val="20"/>
                <w:szCs w:val="20"/>
              </w:rPr>
              <w:t>GFI</w:t>
            </w:r>
            <w:proofErr w:type="spellEnd"/>
          </w:p>
        </w:tc>
        <w:tc>
          <w:tcPr>
            <w:tcW w:w="54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&gt; 0.9</w:t>
            </w:r>
          </w:p>
        </w:tc>
        <w:tc>
          <w:tcPr>
            <w:tcW w:w="458"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0.983</w:t>
            </w:r>
          </w:p>
        </w:tc>
        <w:tc>
          <w:tcPr>
            <w:tcW w:w="2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r w:rsidR="00F22990" w:rsidRPr="00CB5FD4" w:rsidTr="00CB5FD4">
        <w:trPr>
          <w:trHeight w:val="60"/>
        </w:trPr>
        <w:tc>
          <w:tcPr>
            <w:tcW w:w="1095"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proofErr w:type="spellStart"/>
            <w:r w:rsidRPr="00CB5FD4">
              <w:rPr>
                <w:color w:val="000000"/>
                <w:sz w:val="20"/>
                <w:szCs w:val="20"/>
              </w:rPr>
              <w:t>AGFI</w:t>
            </w:r>
            <w:proofErr w:type="spellEnd"/>
          </w:p>
        </w:tc>
        <w:tc>
          <w:tcPr>
            <w:tcW w:w="54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&gt; 0.9</w:t>
            </w:r>
          </w:p>
        </w:tc>
        <w:tc>
          <w:tcPr>
            <w:tcW w:w="458"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0.91</w:t>
            </w:r>
            <w:r w:rsidR="003950C8" w:rsidRPr="00CB5FD4">
              <w:rPr>
                <w:color w:val="000000"/>
                <w:sz w:val="20"/>
                <w:szCs w:val="20"/>
              </w:rPr>
              <w:t>0</w:t>
            </w:r>
          </w:p>
        </w:tc>
        <w:tc>
          <w:tcPr>
            <w:tcW w:w="2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r w:rsidR="00F22990" w:rsidRPr="00CB5FD4" w:rsidTr="00CB5FD4">
        <w:trPr>
          <w:trHeight w:val="60"/>
        </w:trPr>
        <w:tc>
          <w:tcPr>
            <w:tcW w:w="1095"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proofErr w:type="spellStart"/>
            <w:r w:rsidRPr="00CB5FD4">
              <w:rPr>
                <w:color w:val="000000"/>
                <w:sz w:val="20"/>
                <w:szCs w:val="20"/>
              </w:rPr>
              <w:t>NFI</w:t>
            </w:r>
            <w:proofErr w:type="spellEnd"/>
          </w:p>
        </w:tc>
        <w:tc>
          <w:tcPr>
            <w:tcW w:w="54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&gt; 0.9</w:t>
            </w:r>
          </w:p>
        </w:tc>
        <w:tc>
          <w:tcPr>
            <w:tcW w:w="458"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0.932</w:t>
            </w:r>
          </w:p>
        </w:tc>
        <w:tc>
          <w:tcPr>
            <w:tcW w:w="2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r w:rsidR="00F22990" w:rsidRPr="00CB5FD4" w:rsidTr="00CB5FD4">
        <w:trPr>
          <w:trHeight w:val="60"/>
        </w:trPr>
        <w:tc>
          <w:tcPr>
            <w:tcW w:w="1095"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CFI</w:t>
            </w:r>
          </w:p>
        </w:tc>
        <w:tc>
          <w:tcPr>
            <w:tcW w:w="543"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&gt; 0.9</w:t>
            </w:r>
          </w:p>
        </w:tc>
        <w:tc>
          <w:tcPr>
            <w:tcW w:w="458"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0.963</w:t>
            </w:r>
          </w:p>
        </w:tc>
        <w:tc>
          <w:tcPr>
            <w:tcW w:w="2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single" w:sz="4" w:space="0" w:color="FFFFFF" w:themeColor="background1"/>
              <w:left w:val="nil"/>
              <w:bottom w:val="single" w:sz="4" w:space="0" w:color="FFFFFF" w:themeColor="background1"/>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r w:rsidR="00F22990" w:rsidRPr="00CB5FD4" w:rsidTr="00CB5FD4">
        <w:trPr>
          <w:trHeight w:val="60"/>
        </w:trPr>
        <w:tc>
          <w:tcPr>
            <w:tcW w:w="1095" w:type="pct"/>
            <w:tcBorders>
              <w:top w:val="single" w:sz="4" w:space="0" w:color="FFFFFF" w:themeColor="background1"/>
              <w:left w:val="nil"/>
              <w:bottom w:val="single" w:sz="4" w:space="0" w:color="auto"/>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proofErr w:type="spellStart"/>
            <w:r w:rsidRPr="00CB5FD4">
              <w:rPr>
                <w:color w:val="000000"/>
                <w:sz w:val="20"/>
                <w:szCs w:val="20"/>
              </w:rPr>
              <w:t>RMSEA</w:t>
            </w:r>
            <w:proofErr w:type="spellEnd"/>
          </w:p>
        </w:tc>
        <w:tc>
          <w:tcPr>
            <w:tcW w:w="543" w:type="pct"/>
            <w:tcBorders>
              <w:top w:val="single" w:sz="4" w:space="0" w:color="FFFFFF" w:themeColor="background1"/>
              <w:left w:val="single" w:sz="4" w:space="0" w:color="FFFFFF" w:themeColor="background1"/>
              <w:bottom w:val="single" w:sz="4" w:space="0" w:color="auto"/>
              <w:right w:val="nil"/>
            </w:tcBorders>
            <w:shd w:val="clear" w:color="auto" w:fill="auto"/>
            <w:vAlign w:val="bottom"/>
          </w:tcPr>
          <w:p w:rsidR="00F22990" w:rsidRPr="00CB5FD4" w:rsidRDefault="00F22990" w:rsidP="00CB5FD4">
            <w:pPr>
              <w:jc w:val="both"/>
              <w:rPr>
                <w:color w:val="000000"/>
                <w:sz w:val="20"/>
                <w:szCs w:val="20"/>
              </w:rPr>
            </w:pPr>
          </w:p>
        </w:tc>
        <w:tc>
          <w:tcPr>
            <w:tcW w:w="1228" w:type="pct"/>
            <w:tcBorders>
              <w:top w:val="single" w:sz="4" w:space="0" w:color="FFFFFF" w:themeColor="background1"/>
              <w:left w:val="nil"/>
              <w:bottom w:val="single" w:sz="4" w:space="0" w:color="auto"/>
              <w:right w:val="single" w:sz="4" w:space="0" w:color="FFFFFF" w:themeColor="background1"/>
            </w:tcBorders>
            <w:shd w:val="clear" w:color="auto" w:fill="auto"/>
            <w:noWrap/>
            <w:vAlign w:val="bottom"/>
            <w:hideMark/>
          </w:tcPr>
          <w:p w:rsidR="00F22990" w:rsidRPr="00CB5FD4" w:rsidRDefault="00F22990" w:rsidP="00CB5FD4">
            <w:pPr>
              <w:jc w:val="center"/>
              <w:rPr>
                <w:color w:val="000000"/>
                <w:sz w:val="20"/>
                <w:szCs w:val="20"/>
              </w:rPr>
            </w:pPr>
            <w:r w:rsidRPr="00CB5FD4">
              <w:rPr>
                <w:color w:val="000000"/>
                <w:sz w:val="20"/>
                <w:szCs w:val="20"/>
              </w:rPr>
              <w:t>&lt; 0.08</w:t>
            </w:r>
          </w:p>
        </w:tc>
        <w:tc>
          <w:tcPr>
            <w:tcW w:w="458" w:type="pct"/>
            <w:tcBorders>
              <w:top w:val="single" w:sz="4" w:space="0" w:color="FFFFFF" w:themeColor="background1"/>
              <w:left w:val="single" w:sz="4" w:space="0" w:color="FFFFFF" w:themeColor="background1"/>
              <w:bottom w:val="single" w:sz="4" w:space="0" w:color="auto"/>
              <w:right w:val="nil"/>
            </w:tcBorders>
            <w:shd w:val="clear" w:color="auto" w:fill="auto"/>
            <w:vAlign w:val="bottom"/>
          </w:tcPr>
          <w:p w:rsidR="00F22990" w:rsidRPr="00CB5FD4" w:rsidRDefault="00F22990" w:rsidP="00CB5FD4">
            <w:pPr>
              <w:jc w:val="both"/>
              <w:rPr>
                <w:color w:val="000000"/>
                <w:sz w:val="20"/>
                <w:szCs w:val="20"/>
              </w:rPr>
            </w:pPr>
          </w:p>
        </w:tc>
        <w:tc>
          <w:tcPr>
            <w:tcW w:w="797" w:type="pct"/>
            <w:tcBorders>
              <w:top w:val="single" w:sz="4" w:space="0" w:color="FFFFFF" w:themeColor="background1"/>
              <w:left w:val="nil"/>
              <w:bottom w:val="single" w:sz="4" w:space="0" w:color="auto"/>
              <w:right w:val="single" w:sz="4" w:space="0" w:color="FFFFFF" w:themeColor="background1"/>
            </w:tcBorders>
            <w:shd w:val="clear" w:color="auto" w:fill="auto"/>
            <w:noWrap/>
            <w:vAlign w:val="bottom"/>
            <w:hideMark/>
          </w:tcPr>
          <w:p w:rsidR="00F22990" w:rsidRPr="00CB5FD4" w:rsidRDefault="00F22990" w:rsidP="00CB5FD4">
            <w:pPr>
              <w:jc w:val="both"/>
              <w:rPr>
                <w:color w:val="000000"/>
                <w:sz w:val="20"/>
                <w:szCs w:val="20"/>
              </w:rPr>
            </w:pPr>
            <w:r w:rsidRPr="00CB5FD4">
              <w:rPr>
                <w:color w:val="000000"/>
                <w:sz w:val="20"/>
                <w:szCs w:val="20"/>
              </w:rPr>
              <w:t>0.08</w:t>
            </w:r>
            <w:r w:rsidR="003950C8" w:rsidRPr="00CB5FD4">
              <w:rPr>
                <w:color w:val="000000"/>
                <w:sz w:val="20"/>
                <w:szCs w:val="20"/>
              </w:rPr>
              <w:t>0</w:t>
            </w:r>
          </w:p>
        </w:tc>
        <w:tc>
          <w:tcPr>
            <w:tcW w:w="270" w:type="pct"/>
            <w:tcBorders>
              <w:top w:val="single" w:sz="4" w:space="0" w:color="FFFFFF" w:themeColor="background1"/>
              <w:left w:val="single" w:sz="4" w:space="0" w:color="FFFFFF" w:themeColor="background1"/>
              <w:bottom w:val="single" w:sz="4" w:space="0" w:color="auto"/>
              <w:right w:val="nil"/>
            </w:tcBorders>
            <w:shd w:val="clear" w:color="auto" w:fill="auto"/>
            <w:vAlign w:val="bottom"/>
          </w:tcPr>
          <w:p w:rsidR="00F22990" w:rsidRPr="00CB5FD4" w:rsidRDefault="00F22990" w:rsidP="00CB5FD4">
            <w:pPr>
              <w:jc w:val="both"/>
              <w:rPr>
                <w:color w:val="000000"/>
                <w:sz w:val="20"/>
                <w:szCs w:val="20"/>
              </w:rPr>
            </w:pPr>
          </w:p>
        </w:tc>
        <w:tc>
          <w:tcPr>
            <w:tcW w:w="609" w:type="pct"/>
            <w:tcBorders>
              <w:top w:val="single" w:sz="4" w:space="0" w:color="FFFFFF" w:themeColor="background1"/>
              <w:left w:val="nil"/>
              <w:bottom w:val="single" w:sz="4" w:space="0" w:color="auto"/>
              <w:right w:val="nil"/>
            </w:tcBorders>
            <w:shd w:val="clear" w:color="auto" w:fill="auto"/>
            <w:noWrap/>
            <w:hideMark/>
          </w:tcPr>
          <w:p w:rsidR="00F22990" w:rsidRPr="00CB5FD4" w:rsidRDefault="00F22990" w:rsidP="00CB5FD4">
            <w:pPr>
              <w:jc w:val="right"/>
              <w:rPr>
                <w:color w:val="000000"/>
                <w:sz w:val="20"/>
                <w:szCs w:val="20"/>
              </w:rPr>
            </w:pPr>
            <w:r w:rsidRPr="00CB5FD4">
              <w:rPr>
                <w:color w:val="000000"/>
                <w:sz w:val="20"/>
                <w:szCs w:val="20"/>
              </w:rPr>
              <w:t>Fit</w:t>
            </w:r>
          </w:p>
        </w:tc>
      </w:tr>
    </w:tbl>
    <w:p w:rsidR="00F22990" w:rsidRPr="00F22990" w:rsidRDefault="00F22990" w:rsidP="00F22990">
      <w:pPr>
        <w:contextualSpacing/>
        <w:jc w:val="both"/>
        <w:rPr>
          <w:b/>
          <w:sz w:val="22"/>
          <w:szCs w:val="22"/>
        </w:rPr>
      </w:pPr>
    </w:p>
    <w:p w:rsidR="00330B2F" w:rsidRDefault="00330B2F" w:rsidP="00F22990">
      <w:pPr>
        <w:contextualSpacing/>
        <w:jc w:val="both"/>
        <w:rPr>
          <w:b/>
          <w:caps/>
          <w:sz w:val="22"/>
          <w:szCs w:val="22"/>
        </w:rPr>
      </w:pPr>
    </w:p>
    <w:p w:rsidR="00F22990" w:rsidRPr="00330B2F" w:rsidRDefault="00F22990" w:rsidP="00F22990">
      <w:pPr>
        <w:contextualSpacing/>
        <w:jc w:val="both"/>
        <w:rPr>
          <w:b/>
          <w:caps/>
          <w:sz w:val="22"/>
          <w:szCs w:val="22"/>
        </w:rPr>
      </w:pPr>
      <w:r w:rsidRPr="00330B2F">
        <w:rPr>
          <w:b/>
          <w:caps/>
          <w:sz w:val="22"/>
          <w:szCs w:val="22"/>
        </w:rPr>
        <w:t>Discussion</w:t>
      </w:r>
    </w:p>
    <w:p w:rsidR="00F22990" w:rsidRPr="00F22990" w:rsidRDefault="00F22990" w:rsidP="00F22990">
      <w:pPr>
        <w:contextualSpacing/>
        <w:jc w:val="both"/>
        <w:rPr>
          <w:sz w:val="22"/>
          <w:szCs w:val="22"/>
        </w:rPr>
      </w:pPr>
    </w:p>
    <w:p w:rsidR="00F22990" w:rsidRPr="00F22990" w:rsidRDefault="00F22990" w:rsidP="00F22990">
      <w:pPr>
        <w:contextualSpacing/>
        <w:jc w:val="both"/>
        <w:rPr>
          <w:sz w:val="22"/>
          <w:szCs w:val="22"/>
        </w:rPr>
      </w:pPr>
      <w:r w:rsidRPr="00F22990">
        <w:rPr>
          <w:sz w:val="22"/>
          <w:szCs w:val="22"/>
        </w:rPr>
        <w:t xml:space="preserve">To deal with pressures put by both government and society, it is essential for firms to provide information on environmental management, especially carbon emissions. </w:t>
      </w:r>
      <w:r w:rsidRPr="00CB5FD4">
        <w:rPr>
          <w:sz w:val="22"/>
          <w:szCs w:val="22"/>
        </w:rPr>
        <w:t xml:space="preserve">Those implementing PROPER well would have adequate information on environmental management. The effect of PROPER rating on </w:t>
      </w:r>
      <w:proofErr w:type="spellStart"/>
      <w:r w:rsidRPr="00CB5FD4">
        <w:rPr>
          <w:sz w:val="22"/>
          <w:szCs w:val="22"/>
        </w:rPr>
        <w:t>CED</w:t>
      </w:r>
      <w:proofErr w:type="spellEnd"/>
      <w:r w:rsidRPr="00CB5FD4">
        <w:rPr>
          <w:sz w:val="22"/>
          <w:szCs w:val="22"/>
        </w:rPr>
        <w:t xml:space="preserve"> proves this. This finding is in accord with studies conducted by </w:t>
      </w:r>
      <w:r w:rsidRPr="00CB5FD4">
        <w:rPr>
          <w:noProof/>
          <w:sz w:val="22"/>
          <w:szCs w:val="22"/>
        </w:rPr>
        <w:t>Dawkins and Fraas (2011)</w:t>
      </w:r>
      <w:r w:rsidRPr="00CB5FD4">
        <w:rPr>
          <w:sz w:val="22"/>
          <w:szCs w:val="22"/>
        </w:rPr>
        <w:t xml:space="preserve"> and </w:t>
      </w:r>
      <w:r w:rsidRPr="00CB5FD4">
        <w:rPr>
          <w:noProof/>
          <w:sz w:val="22"/>
          <w:szCs w:val="22"/>
        </w:rPr>
        <w:t>Al-Tuwaijri et al. (2004)</w:t>
      </w:r>
      <w:r w:rsidRPr="00CB5FD4">
        <w:rPr>
          <w:sz w:val="22"/>
          <w:szCs w:val="22"/>
        </w:rPr>
        <w:t xml:space="preserve">. However, </w:t>
      </w:r>
      <w:proofErr w:type="spellStart"/>
      <w:r w:rsidR="0040602D" w:rsidRPr="00CB5FD4">
        <w:rPr>
          <w:sz w:val="22"/>
          <w:szCs w:val="22"/>
        </w:rPr>
        <w:t>Akhiroh</w:t>
      </w:r>
      <w:proofErr w:type="spellEnd"/>
      <w:r w:rsidR="0040602D" w:rsidRPr="00CB5FD4">
        <w:rPr>
          <w:sz w:val="22"/>
          <w:szCs w:val="22"/>
        </w:rPr>
        <w:t xml:space="preserve"> and </w:t>
      </w:r>
      <w:proofErr w:type="spellStart"/>
      <w:r w:rsidR="0040602D" w:rsidRPr="00CB5FD4">
        <w:rPr>
          <w:sz w:val="22"/>
          <w:szCs w:val="22"/>
        </w:rPr>
        <w:t>Kiswanto</w:t>
      </w:r>
      <w:proofErr w:type="spellEnd"/>
      <w:r w:rsidRPr="00CB5FD4">
        <w:rPr>
          <w:noProof/>
          <w:sz w:val="22"/>
          <w:szCs w:val="22"/>
        </w:rPr>
        <w:t xml:space="preserve"> (201</w:t>
      </w:r>
      <w:r w:rsidR="0040602D" w:rsidRPr="00CB5FD4">
        <w:rPr>
          <w:noProof/>
          <w:sz w:val="22"/>
          <w:szCs w:val="22"/>
        </w:rPr>
        <w:t>6</w:t>
      </w:r>
      <w:r w:rsidRPr="00CB5FD4">
        <w:rPr>
          <w:noProof/>
          <w:sz w:val="22"/>
          <w:szCs w:val="22"/>
        </w:rPr>
        <w:t>) conclude that environmental performance does not affect CED</w:t>
      </w:r>
      <w:r w:rsidRPr="00CB5FD4">
        <w:rPr>
          <w:sz w:val="22"/>
          <w:szCs w:val="22"/>
        </w:rPr>
        <w:t xml:space="preserve">. The reason of different findings is probably due to the differences of financial statement periods and different subjective perceptions in interpreting financial reports. Hence, companies with good PROPER implementation would have more advantages in facing both governmental </w:t>
      </w:r>
      <w:r w:rsidRPr="00F22990">
        <w:rPr>
          <w:sz w:val="22"/>
          <w:szCs w:val="22"/>
        </w:rPr>
        <w:t>and social pressures.</w:t>
      </w:r>
    </w:p>
    <w:p w:rsidR="00F22990" w:rsidRPr="00F22990" w:rsidRDefault="00F22990" w:rsidP="00CB5FD4">
      <w:pPr>
        <w:ind w:firstLine="284"/>
        <w:contextualSpacing/>
        <w:jc w:val="both"/>
        <w:rPr>
          <w:sz w:val="22"/>
          <w:szCs w:val="22"/>
        </w:rPr>
      </w:pPr>
      <w:r w:rsidRPr="00F22990">
        <w:rPr>
          <w:sz w:val="22"/>
          <w:szCs w:val="22"/>
        </w:rPr>
        <w:t xml:space="preserve">Another variable affecting the </w:t>
      </w:r>
      <w:proofErr w:type="spellStart"/>
      <w:r w:rsidRPr="00F22990">
        <w:rPr>
          <w:sz w:val="22"/>
          <w:szCs w:val="22"/>
        </w:rPr>
        <w:t>CED</w:t>
      </w:r>
      <w:proofErr w:type="spellEnd"/>
      <w:r w:rsidRPr="00F22990">
        <w:rPr>
          <w:sz w:val="22"/>
          <w:szCs w:val="22"/>
        </w:rPr>
        <w:t xml:space="preserve"> of manufacturing companies is Board Size. Those with more boards of commissioner members tend to broadly publish </w:t>
      </w:r>
      <w:proofErr w:type="spellStart"/>
      <w:r w:rsidRPr="00F22990">
        <w:rPr>
          <w:sz w:val="22"/>
          <w:szCs w:val="22"/>
        </w:rPr>
        <w:t>CED</w:t>
      </w:r>
      <w:proofErr w:type="spellEnd"/>
      <w:r w:rsidRPr="00F22990">
        <w:rPr>
          <w:sz w:val="22"/>
          <w:szCs w:val="22"/>
        </w:rPr>
        <w:t xml:space="preserve">. As a reflection of </w:t>
      </w:r>
      <w:proofErr w:type="spellStart"/>
      <w:r w:rsidRPr="00F22990">
        <w:rPr>
          <w:sz w:val="22"/>
          <w:szCs w:val="22"/>
        </w:rPr>
        <w:t>GCG</w:t>
      </w:r>
      <w:proofErr w:type="spellEnd"/>
      <w:r w:rsidRPr="00F22990">
        <w:rPr>
          <w:sz w:val="22"/>
          <w:szCs w:val="22"/>
        </w:rPr>
        <w:t xml:space="preserve"> implementation, Board of Commissioner encourages companies to enhance transparent, accountable, responsible, independent and fair management </w:t>
      </w:r>
      <w:r w:rsidRPr="00F22990">
        <w:rPr>
          <w:noProof/>
          <w:sz w:val="22"/>
          <w:szCs w:val="22"/>
        </w:rPr>
        <w:t>(KNKG, 2006)</w:t>
      </w:r>
      <w:r w:rsidRPr="00F22990">
        <w:rPr>
          <w:sz w:val="22"/>
          <w:szCs w:val="22"/>
        </w:rPr>
        <w:t xml:space="preserve">. Research conducted by </w:t>
      </w:r>
      <w:r w:rsidRPr="00F22990">
        <w:rPr>
          <w:noProof/>
          <w:sz w:val="22"/>
          <w:szCs w:val="22"/>
        </w:rPr>
        <w:t>Rankin et al. (2011)</w:t>
      </w:r>
      <w:r w:rsidRPr="00F22990">
        <w:rPr>
          <w:sz w:val="22"/>
          <w:szCs w:val="22"/>
        </w:rPr>
        <w:t xml:space="preserve">, </w:t>
      </w:r>
      <w:r w:rsidRPr="00F22990">
        <w:rPr>
          <w:noProof/>
          <w:sz w:val="22"/>
          <w:szCs w:val="22"/>
        </w:rPr>
        <w:t>Saragih et al. (2013)</w:t>
      </w:r>
      <w:r w:rsidRPr="00F22990">
        <w:rPr>
          <w:sz w:val="22"/>
          <w:szCs w:val="22"/>
        </w:rPr>
        <w:t xml:space="preserve"> and </w:t>
      </w:r>
      <w:r w:rsidRPr="00F22990">
        <w:rPr>
          <w:noProof/>
          <w:sz w:val="22"/>
          <w:szCs w:val="22"/>
        </w:rPr>
        <w:t>Liao et al. (2015)</w:t>
      </w:r>
      <w:r w:rsidRPr="00F22990">
        <w:rPr>
          <w:sz w:val="22"/>
          <w:szCs w:val="22"/>
        </w:rPr>
        <w:t xml:space="preserve"> confirm this finding. Board Size also affects companies’ environmental performance. </w:t>
      </w:r>
      <w:r w:rsidRPr="00F22990">
        <w:rPr>
          <w:noProof/>
          <w:sz w:val="22"/>
          <w:szCs w:val="22"/>
        </w:rPr>
        <w:t>Doonan et al. (2005)</w:t>
      </w:r>
      <w:r w:rsidRPr="00F22990">
        <w:rPr>
          <w:sz w:val="22"/>
          <w:szCs w:val="22"/>
        </w:rPr>
        <w:t xml:space="preserve"> contend that environmental performance is affected by the availability of human resources, finance and management. The board of commissioners may represent the availability of both human resources and management. Board size, as a proxy of the implementation of </w:t>
      </w:r>
      <w:proofErr w:type="spellStart"/>
      <w:r w:rsidRPr="00F22990">
        <w:rPr>
          <w:sz w:val="22"/>
          <w:szCs w:val="22"/>
        </w:rPr>
        <w:t>GCG</w:t>
      </w:r>
      <w:proofErr w:type="spellEnd"/>
      <w:r w:rsidRPr="00F22990">
        <w:rPr>
          <w:sz w:val="22"/>
          <w:szCs w:val="22"/>
        </w:rPr>
        <w:t xml:space="preserve">, affects not only environmental performance but also significantly influence </w:t>
      </w:r>
      <w:proofErr w:type="spellStart"/>
      <w:r w:rsidRPr="00F22990">
        <w:rPr>
          <w:sz w:val="22"/>
          <w:szCs w:val="22"/>
        </w:rPr>
        <w:t>CED</w:t>
      </w:r>
      <w:proofErr w:type="spellEnd"/>
      <w:r w:rsidRPr="00F22990">
        <w:rPr>
          <w:sz w:val="22"/>
          <w:szCs w:val="22"/>
        </w:rPr>
        <w:t>. It also means that board of commissioners encourages management to disclose more information about carbon emission of the company.</w:t>
      </w:r>
    </w:p>
    <w:p w:rsidR="00F22990" w:rsidRPr="00491834" w:rsidRDefault="00F22990" w:rsidP="00CB5FD4">
      <w:pPr>
        <w:ind w:firstLine="284"/>
        <w:contextualSpacing/>
        <w:jc w:val="both"/>
        <w:rPr>
          <w:sz w:val="22"/>
          <w:szCs w:val="22"/>
        </w:rPr>
      </w:pPr>
      <w:r w:rsidRPr="00F22990">
        <w:rPr>
          <w:sz w:val="22"/>
          <w:szCs w:val="22"/>
        </w:rPr>
        <w:t xml:space="preserve">Leverage measured by DAR affects neither environmental performance nor </w:t>
      </w:r>
      <w:proofErr w:type="spellStart"/>
      <w:r w:rsidRPr="00F22990">
        <w:rPr>
          <w:sz w:val="22"/>
          <w:szCs w:val="22"/>
        </w:rPr>
        <w:t>CED</w:t>
      </w:r>
      <w:proofErr w:type="spellEnd"/>
      <w:r w:rsidRPr="00F22990">
        <w:rPr>
          <w:sz w:val="22"/>
          <w:szCs w:val="22"/>
        </w:rPr>
        <w:t xml:space="preserve">. Simply put, environmental performance and </w:t>
      </w:r>
      <w:proofErr w:type="spellStart"/>
      <w:r w:rsidRPr="00F22990">
        <w:rPr>
          <w:sz w:val="22"/>
          <w:szCs w:val="22"/>
        </w:rPr>
        <w:t>CED</w:t>
      </w:r>
      <w:proofErr w:type="spellEnd"/>
      <w:r w:rsidRPr="00F22990">
        <w:rPr>
          <w:sz w:val="22"/>
          <w:szCs w:val="22"/>
        </w:rPr>
        <w:t xml:space="preserve"> are not affected by the amount of interest that companies should bear. The study does not encounter an idea that the company with higher leverage tends to have lower environmental performance. Thus, companies’ expenditure on producing environmental information is not affected by their interest expense. The finding is similar to the previous one gained from studies conducted by </w:t>
      </w:r>
      <w:r w:rsidRPr="00F22990">
        <w:rPr>
          <w:noProof/>
          <w:sz w:val="22"/>
          <w:szCs w:val="22"/>
        </w:rPr>
        <w:t>Bae Choi et al. (2013)</w:t>
      </w:r>
      <w:r w:rsidRPr="00F22990">
        <w:rPr>
          <w:sz w:val="22"/>
          <w:szCs w:val="22"/>
        </w:rPr>
        <w:t xml:space="preserve"> suggesting </w:t>
      </w:r>
      <w:r w:rsidRPr="00491834">
        <w:rPr>
          <w:sz w:val="22"/>
          <w:szCs w:val="22"/>
        </w:rPr>
        <w:t xml:space="preserve">that leverage does not affect </w:t>
      </w:r>
      <w:proofErr w:type="spellStart"/>
      <w:r w:rsidRPr="00491834">
        <w:rPr>
          <w:sz w:val="22"/>
          <w:szCs w:val="22"/>
        </w:rPr>
        <w:t>CED</w:t>
      </w:r>
      <w:proofErr w:type="spellEnd"/>
      <w:r w:rsidRPr="00491834">
        <w:rPr>
          <w:sz w:val="22"/>
          <w:szCs w:val="22"/>
        </w:rPr>
        <w:t xml:space="preserve">. </w:t>
      </w:r>
      <w:r w:rsidR="00330B2F" w:rsidRPr="00491834">
        <w:rPr>
          <w:sz w:val="22"/>
          <w:szCs w:val="22"/>
        </w:rPr>
        <w:t xml:space="preserve">Nevertheless, </w:t>
      </w:r>
      <w:proofErr w:type="spellStart"/>
      <w:r w:rsidR="00330B2F" w:rsidRPr="00491834">
        <w:rPr>
          <w:sz w:val="22"/>
          <w:szCs w:val="22"/>
        </w:rPr>
        <w:t>Belkaoui</w:t>
      </w:r>
      <w:proofErr w:type="spellEnd"/>
      <w:r w:rsidRPr="00491834">
        <w:rPr>
          <w:noProof/>
          <w:sz w:val="22"/>
          <w:szCs w:val="22"/>
        </w:rPr>
        <w:t xml:space="preserve"> and Karpik (1989) find that leverage positively correlates with social information disclosure</w:t>
      </w:r>
      <w:r w:rsidRPr="00491834">
        <w:rPr>
          <w:sz w:val="22"/>
          <w:szCs w:val="22"/>
        </w:rPr>
        <w:t xml:space="preserve">. On the other hand, a study on mining companies uncovers a fact that leverage offers positive effects on environmental disclosure </w:t>
      </w:r>
      <w:r w:rsidRPr="00491834">
        <w:rPr>
          <w:noProof/>
          <w:sz w:val="22"/>
          <w:szCs w:val="22"/>
        </w:rPr>
        <w:t xml:space="preserve">(Yanto </w:t>
      </w:r>
      <w:r w:rsidR="00344650" w:rsidRPr="00491834">
        <w:rPr>
          <w:noProof/>
          <w:sz w:val="22"/>
          <w:szCs w:val="22"/>
        </w:rPr>
        <w:t>and</w:t>
      </w:r>
      <w:r w:rsidRPr="00491834">
        <w:rPr>
          <w:noProof/>
          <w:sz w:val="22"/>
          <w:szCs w:val="22"/>
        </w:rPr>
        <w:t xml:space="preserve"> Muzzammil, 2016)</w:t>
      </w:r>
      <w:r w:rsidRPr="00491834">
        <w:rPr>
          <w:sz w:val="22"/>
          <w:szCs w:val="22"/>
        </w:rPr>
        <w:t xml:space="preserve">. It is likely for </w:t>
      </w:r>
      <w:r w:rsidRPr="00491834">
        <w:rPr>
          <w:sz w:val="22"/>
          <w:szCs w:val="22"/>
        </w:rPr>
        <w:lastRenderedPageBreak/>
        <w:t>the samples of the study to be the cause of distinct findings, for mining companies are prone to trigger higher natural degradation than those from other sectors.</w:t>
      </w:r>
    </w:p>
    <w:p w:rsidR="00F22990" w:rsidRPr="00CB5FD4" w:rsidRDefault="00F22990" w:rsidP="00CB5FD4">
      <w:pPr>
        <w:ind w:firstLine="284"/>
        <w:contextualSpacing/>
        <w:jc w:val="both"/>
        <w:rPr>
          <w:noProof/>
          <w:sz w:val="22"/>
          <w:szCs w:val="22"/>
        </w:rPr>
      </w:pPr>
      <w:r w:rsidRPr="00CB5FD4">
        <w:rPr>
          <w:sz w:val="22"/>
          <w:szCs w:val="22"/>
        </w:rPr>
        <w:t xml:space="preserve">The study finds that leverage does not affect environmental performance. </w:t>
      </w:r>
      <w:proofErr w:type="spellStart"/>
      <w:r w:rsidR="00E97628" w:rsidRPr="00CB5FD4">
        <w:rPr>
          <w:sz w:val="22"/>
          <w:szCs w:val="22"/>
        </w:rPr>
        <w:t>Supiyanto</w:t>
      </w:r>
      <w:proofErr w:type="spellEnd"/>
      <w:r w:rsidR="00E97628" w:rsidRPr="00CB5FD4">
        <w:rPr>
          <w:sz w:val="22"/>
          <w:szCs w:val="22"/>
        </w:rPr>
        <w:t xml:space="preserve"> and </w:t>
      </w:r>
      <w:proofErr w:type="spellStart"/>
      <w:r w:rsidR="00E97628" w:rsidRPr="00CB5FD4">
        <w:rPr>
          <w:sz w:val="22"/>
          <w:szCs w:val="22"/>
        </w:rPr>
        <w:t>Pratiwi</w:t>
      </w:r>
      <w:proofErr w:type="spellEnd"/>
      <w:r w:rsidR="00E97628" w:rsidRPr="00CB5FD4">
        <w:rPr>
          <w:sz w:val="22"/>
          <w:szCs w:val="22"/>
        </w:rPr>
        <w:t xml:space="preserve"> (2017) </w:t>
      </w:r>
      <w:r w:rsidRPr="00CB5FD4">
        <w:rPr>
          <w:sz w:val="22"/>
          <w:szCs w:val="22"/>
        </w:rPr>
        <w:t xml:space="preserve">confirm this finding. Even though, the expense of environmental management is considerably expensive </w:t>
      </w:r>
      <w:r w:rsidRPr="00CB5FD4">
        <w:rPr>
          <w:noProof/>
          <w:sz w:val="22"/>
          <w:szCs w:val="22"/>
        </w:rPr>
        <w:t>(Hutchison, 2011)</w:t>
      </w:r>
      <w:r w:rsidRPr="00CB5FD4">
        <w:rPr>
          <w:sz w:val="22"/>
          <w:szCs w:val="22"/>
        </w:rPr>
        <w:t xml:space="preserve">, but the amount seems to be unaffected by companies’ liability. Law enforcement on environmental protection could cause </w:t>
      </w:r>
      <w:r w:rsidR="00B76D4A" w:rsidRPr="00CB5FD4">
        <w:rPr>
          <w:sz w:val="22"/>
          <w:szCs w:val="22"/>
        </w:rPr>
        <w:t xml:space="preserve">the </w:t>
      </w:r>
      <w:r w:rsidRPr="00CB5FD4">
        <w:rPr>
          <w:sz w:val="22"/>
          <w:szCs w:val="22"/>
        </w:rPr>
        <w:t xml:space="preserve">insignificant correlation between company liabilities and environmental performance. Based on Law </w:t>
      </w:r>
      <w:r w:rsidRPr="00CB5FD4">
        <w:rPr>
          <w:noProof/>
          <w:sz w:val="22"/>
          <w:szCs w:val="22"/>
        </w:rPr>
        <w:t xml:space="preserve">No. 32/2009, it is likely for the implementation of PROPER to be mandatory, so the cost of environmental management is not affected by companies’ interest expense.  Moreover, government and </w:t>
      </w:r>
      <w:r w:rsidR="00B76D4A" w:rsidRPr="00CB5FD4">
        <w:rPr>
          <w:noProof/>
          <w:sz w:val="22"/>
          <w:szCs w:val="22"/>
        </w:rPr>
        <w:t>Indonesia Chartered Accountant (</w:t>
      </w:r>
      <w:r w:rsidRPr="00CB5FD4">
        <w:rPr>
          <w:noProof/>
          <w:sz w:val="22"/>
          <w:szCs w:val="22"/>
        </w:rPr>
        <w:t>IAI</w:t>
      </w:r>
      <w:r w:rsidR="00B76D4A" w:rsidRPr="00CB5FD4">
        <w:rPr>
          <w:noProof/>
          <w:sz w:val="22"/>
          <w:szCs w:val="22"/>
        </w:rPr>
        <w:t>)</w:t>
      </w:r>
      <w:r w:rsidRPr="00CB5FD4">
        <w:rPr>
          <w:noProof/>
          <w:sz w:val="22"/>
          <w:szCs w:val="22"/>
        </w:rPr>
        <w:t xml:space="preserve"> could not force the companies to disclose carbon emissions in their annual reports as it is still considered voluntary (</w:t>
      </w:r>
      <w:r w:rsidR="007B7DA8" w:rsidRPr="00CB5FD4">
        <w:rPr>
          <w:sz w:val="22"/>
          <w:szCs w:val="22"/>
        </w:rPr>
        <w:t xml:space="preserve">Kusuma, </w:t>
      </w:r>
      <w:proofErr w:type="spellStart"/>
      <w:r w:rsidR="007B7DA8" w:rsidRPr="00CB5FD4">
        <w:rPr>
          <w:sz w:val="22"/>
          <w:szCs w:val="22"/>
        </w:rPr>
        <w:t>Manurung</w:t>
      </w:r>
      <w:proofErr w:type="spellEnd"/>
      <w:r w:rsidR="007B7DA8" w:rsidRPr="00CB5FD4">
        <w:rPr>
          <w:sz w:val="22"/>
          <w:szCs w:val="22"/>
        </w:rPr>
        <w:t xml:space="preserve">, </w:t>
      </w:r>
      <w:proofErr w:type="spellStart"/>
      <w:r w:rsidR="007B7DA8" w:rsidRPr="00CB5FD4">
        <w:rPr>
          <w:sz w:val="22"/>
          <w:szCs w:val="22"/>
        </w:rPr>
        <w:t>Oktari</w:t>
      </w:r>
      <w:proofErr w:type="spellEnd"/>
      <w:r w:rsidR="007B7DA8" w:rsidRPr="00CB5FD4">
        <w:rPr>
          <w:sz w:val="22"/>
          <w:szCs w:val="22"/>
        </w:rPr>
        <w:t xml:space="preserve">, and </w:t>
      </w:r>
      <w:proofErr w:type="spellStart"/>
      <w:r w:rsidR="007B7DA8" w:rsidRPr="00CB5FD4">
        <w:rPr>
          <w:sz w:val="22"/>
          <w:szCs w:val="22"/>
        </w:rPr>
        <w:t>Hasnatarina</w:t>
      </w:r>
      <w:proofErr w:type="spellEnd"/>
      <w:r w:rsidR="007B7DA8" w:rsidRPr="00CB5FD4">
        <w:rPr>
          <w:noProof/>
          <w:sz w:val="22"/>
          <w:szCs w:val="22"/>
        </w:rPr>
        <w:t>, 2016)</w:t>
      </w:r>
      <w:r w:rsidRPr="00CB5FD4">
        <w:rPr>
          <w:noProof/>
          <w:sz w:val="22"/>
          <w:szCs w:val="22"/>
        </w:rPr>
        <w:t>.</w:t>
      </w:r>
    </w:p>
    <w:p w:rsidR="00F22990" w:rsidRPr="00491834" w:rsidRDefault="00F22990" w:rsidP="00CB5FD4">
      <w:pPr>
        <w:ind w:firstLine="284"/>
        <w:contextualSpacing/>
        <w:jc w:val="both"/>
        <w:rPr>
          <w:sz w:val="22"/>
          <w:szCs w:val="22"/>
        </w:rPr>
      </w:pPr>
      <w:r w:rsidRPr="00CB5FD4">
        <w:rPr>
          <w:sz w:val="22"/>
          <w:szCs w:val="22"/>
        </w:rPr>
        <w:t xml:space="preserve">Profitability proxied by </w:t>
      </w:r>
      <w:proofErr w:type="spellStart"/>
      <w:r w:rsidRPr="00CB5FD4">
        <w:rPr>
          <w:sz w:val="22"/>
          <w:szCs w:val="22"/>
        </w:rPr>
        <w:t>ROA</w:t>
      </w:r>
      <w:proofErr w:type="spellEnd"/>
      <w:r w:rsidRPr="00CB5FD4">
        <w:rPr>
          <w:sz w:val="22"/>
          <w:szCs w:val="22"/>
        </w:rPr>
        <w:t xml:space="preserve"> significantly affects PROPER rating. Findings of prior studies conducted by </w:t>
      </w:r>
      <w:r w:rsidRPr="00CB5FD4">
        <w:rPr>
          <w:noProof/>
          <w:sz w:val="22"/>
          <w:szCs w:val="22"/>
        </w:rPr>
        <w:t>Bae Choi et al. (2013)</w:t>
      </w:r>
      <w:r w:rsidRPr="00CB5FD4">
        <w:rPr>
          <w:sz w:val="22"/>
          <w:szCs w:val="22"/>
        </w:rPr>
        <w:t xml:space="preserve"> and </w:t>
      </w:r>
      <w:r w:rsidRPr="00CB5FD4">
        <w:rPr>
          <w:noProof/>
          <w:sz w:val="22"/>
          <w:szCs w:val="22"/>
        </w:rPr>
        <w:t>Rankin et al. (2011)</w:t>
      </w:r>
      <w:r w:rsidRPr="00CB5FD4">
        <w:rPr>
          <w:sz w:val="22"/>
          <w:szCs w:val="22"/>
        </w:rPr>
        <w:t xml:space="preserve"> are in accord with this.  Nevertheless, some previous studies conclude otherwise </w:t>
      </w:r>
      <w:r w:rsidRPr="00CB5FD4">
        <w:rPr>
          <w:noProof/>
          <w:sz w:val="22"/>
          <w:szCs w:val="22"/>
        </w:rPr>
        <w:t>(</w:t>
      </w:r>
      <w:r w:rsidR="007B7DA8" w:rsidRPr="00CB5FD4">
        <w:rPr>
          <w:sz w:val="22"/>
          <w:szCs w:val="22"/>
        </w:rPr>
        <w:t xml:space="preserve">Kusuma, </w:t>
      </w:r>
      <w:proofErr w:type="spellStart"/>
      <w:r w:rsidR="007B7DA8" w:rsidRPr="00CB5FD4">
        <w:rPr>
          <w:sz w:val="22"/>
          <w:szCs w:val="22"/>
        </w:rPr>
        <w:t>Manurung</w:t>
      </w:r>
      <w:proofErr w:type="spellEnd"/>
      <w:r w:rsidR="007B7DA8" w:rsidRPr="00CB5FD4">
        <w:rPr>
          <w:sz w:val="22"/>
          <w:szCs w:val="22"/>
        </w:rPr>
        <w:t xml:space="preserve">, </w:t>
      </w:r>
      <w:proofErr w:type="spellStart"/>
      <w:r w:rsidR="007B7DA8" w:rsidRPr="00CB5FD4">
        <w:rPr>
          <w:sz w:val="22"/>
          <w:szCs w:val="22"/>
        </w:rPr>
        <w:t>Oktari</w:t>
      </w:r>
      <w:proofErr w:type="spellEnd"/>
      <w:r w:rsidR="007B7DA8" w:rsidRPr="00CB5FD4">
        <w:rPr>
          <w:sz w:val="22"/>
          <w:szCs w:val="22"/>
        </w:rPr>
        <w:t xml:space="preserve">, and </w:t>
      </w:r>
      <w:proofErr w:type="spellStart"/>
      <w:r w:rsidR="007B7DA8" w:rsidRPr="00CB5FD4">
        <w:rPr>
          <w:sz w:val="22"/>
          <w:szCs w:val="22"/>
        </w:rPr>
        <w:t>Hasnatarina</w:t>
      </w:r>
      <w:proofErr w:type="spellEnd"/>
      <w:r w:rsidR="007B7DA8" w:rsidRPr="00CB5FD4">
        <w:rPr>
          <w:noProof/>
          <w:sz w:val="22"/>
          <w:szCs w:val="22"/>
        </w:rPr>
        <w:t>, 2016)</w:t>
      </w:r>
      <w:r w:rsidRPr="00CB5FD4">
        <w:rPr>
          <w:noProof/>
          <w:sz w:val="22"/>
          <w:szCs w:val="22"/>
        </w:rPr>
        <w:t>; Yusoff et al., 2013)</w:t>
      </w:r>
      <w:r w:rsidRPr="00CB5FD4">
        <w:rPr>
          <w:sz w:val="22"/>
          <w:szCs w:val="22"/>
        </w:rPr>
        <w:t xml:space="preserve">. Moreover, </w:t>
      </w:r>
      <w:r w:rsidRPr="00CB5FD4">
        <w:rPr>
          <w:noProof/>
          <w:sz w:val="22"/>
          <w:szCs w:val="22"/>
        </w:rPr>
        <w:t>Doonan et al. (2005)</w:t>
      </w:r>
      <w:r w:rsidRPr="00CB5FD4">
        <w:rPr>
          <w:sz w:val="22"/>
          <w:szCs w:val="22"/>
        </w:rPr>
        <w:t xml:space="preserve"> </w:t>
      </w:r>
      <w:hyperlink w:anchor="_ENREF_9" w:tooltip="Doonan, 2005 #39" w:history="1"/>
      <w:r w:rsidRPr="00CB5FD4">
        <w:rPr>
          <w:sz w:val="22"/>
          <w:szCs w:val="22"/>
        </w:rPr>
        <w:t xml:space="preserve"> conclude that environmental performance is affected by several factors, among which are finance and human resources. </w:t>
      </w:r>
      <w:proofErr w:type="spellStart"/>
      <w:r w:rsidRPr="00CB5FD4">
        <w:rPr>
          <w:sz w:val="22"/>
          <w:szCs w:val="22"/>
        </w:rPr>
        <w:t>ROA</w:t>
      </w:r>
      <w:proofErr w:type="spellEnd"/>
      <w:r w:rsidRPr="00CB5FD4">
        <w:rPr>
          <w:sz w:val="22"/>
          <w:szCs w:val="22"/>
        </w:rPr>
        <w:t xml:space="preserve">, as the proxy of profitability—though not depicting the entire companies’ financial performance—strongly affects environmental performance, yet profitability does not affect </w:t>
      </w:r>
      <w:proofErr w:type="spellStart"/>
      <w:r w:rsidRPr="00CB5FD4">
        <w:rPr>
          <w:sz w:val="22"/>
          <w:szCs w:val="22"/>
        </w:rPr>
        <w:t>CED</w:t>
      </w:r>
      <w:proofErr w:type="spellEnd"/>
      <w:r w:rsidRPr="00CB5FD4">
        <w:rPr>
          <w:sz w:val="22"/>
          <w:szCs w:val="22"/>
        </w:rPr>
        <w:t xml:space="preserve">. This study also provides information that in the short term, profitability influences environmental performance as contended by </w:t>
      </w:r>
      <w:r w:rsidRPr="00CB5FD4">
        <w:rPr>
          <w:noProof/>
          <w:sz w:val="22"/>
          <w:szCs w:val="22"/>
        </w:rPr>
        <w:t>Kim (2015)</w:t>
      </w:r>
      <w:r w:rsidRPr="00CB5FD4">
        <w:rPr>
          <w:sz w:val="22"/>
          <w:szCs w:val="22"/>
        </w:rPr>
        <w:t xml:space="preserve">. Insignificant effect of profitability on </w:t>
      </w:r>
      <w:proofErr w:type="spellStart"/>
      <w:r w:rsidRPr="00CB5FD4">
        <w:rPr>
          <w:sz w:val="22"/>
          <w:szCs w:val="22"/>
        </w:rPr>
        <w:t>CED</w:t>
      </w:r>
      <w:proofErr w:type="spellEnd"/>
      <w:r w:rsidRPr="00CB5FD4">
        <w:rPr>
          <w:sz w:val="22"/>
          <w:szCs w:val="22"/>
        </w:rPr>
        <w:t xml:space="preserve"> could be a result from two factors. </w:t>
      </w:r>
      <w:r w:rsidR="00051BC0" w:rsidRPr="00CB5FD4">
        <w:rPr>
          <w:sz w:val="22"/>
          <w:szCs w:val="22"/>
        </w:rPr>
        <w:t>First</w:t>
      </w:r>
      <w:r w:rsidRPr="00CB5FD4">
        <w:rPr>
          <w:sz w:val="22"/>
          <w:szCs w:val="22"/>
        </w:rPr>
        <w:t xml:space="preserve">, it is voluntary to record </w:t>
      </w:r>
      <w:proofErr w:type="spellStart"/>
      <w:r w:rsidRPr="00CB5FD4">
        <w:rPr>
          <w:sz w:val="22"/>
          <w:szCs w:val="22"/>
        </w:rPr>
        <w:t>CED</w:t>
      </w:r>
      <w:proofErr w:type="spellEnd"/>
      <w:r w:rsidRPr="00CB5FD4">
        <w:rPr>
          <w:sz w:val="22"/>
          <w:szCs w:val="22"/>
        </w:rPr>
        <w:t xml:space="preserve"> in annual reports </w:t>
      </w:r>
      <w:r w:rsidRPr="00CB5FD4">
        <w:rPr>
          <w:noProof/>
          <w:sz w:val="22"/>
          <w:szCs w:val="22"/>
        </w:rPr>
        <w:t>(</w:t>
      </w:r>
      <w:r w:rsidR="00496CCC" w:rsidRPr="00CB5FD4">
        <w:rPr>
          <w:sz w:val="22"/>
          <w:szCs w:val="22"/>
        </w:rPr>
        <w:t xml:space="preserve">Kusuma, </w:t>
      </w:r>
      <w:proofErr w:type="spellStart"/>
      <w:r w:rsidR="00496CCC" w:rsidRPr="00CB5FD4">
        <w:rPr>
          <w:sz w:val="22"/>
          <w:szCs w:val="22"/>
        </w:rPr>
        <w:t>Manurung</w:t>
      </w:r>
      <w:proofErr w:type="spellEnd"/>
      <w:r w:rsidR="00496CCC" w:rsidRPr="00CB5FD4">
        <w:rPr>
          <w:sz w:val="22"/>
          <w:szCs w:val="22"/>
        </w:rPr>
        <w:t xml:space="preserve">, </w:t>
      </w:r>
      <w:proofErr w:type="spellStart"/>
      <w:r w:rsidR="00496CCC" w:rsidRPr="00CB5FD4">
        <w:rPr>
          <w:sz w:val="22"/>
          <w:szCs w:val="22"/>
        </w:rPr>
        <w:t>Oktari</w:t>
      </w:r>
      <w:proofErr w:type="spellEnd"/>
      <w:r w:rsidR="00496CCC" w:rsidRPr="00CB5FD4">
        <w:rPr>
          <w:sz w:val="22"/>
          <w:szCs w:val="22"/>
        </w:rPr>
        <w:t xml:space="preserve">, and </w:t>
      </w:r>
      <w:proofErr w:type="spellStart"/>
      <w:r w:rsidR="00496CCC" w:rsidRPr="00CB5FD4">
        <w:rPr>
          <w:sz w:val="22"/>
          <w:szCs w:val="22"/>
        </w:rPr>
        <w:t>Hasnatarina</w:t>
      </w:r>
      <w:proofErr w:type="spellEnd"/>
      <w:r w:rsidR="00496CCC" w:rsidRPr="00CB5FD4">
        <w:rPr>
          <w:noProof/>
          <w:sz w:val="22"/>
          <w:szCs w:val="22"/>
        </w:rPr>
        <w:t>, 2016</w:t>
      </w:r>
      <w:r w:rsidRPr="00CB5FD4">
        <w:rPr>
          <w:noProof/>
          <w:sz w:val="22"/>
          <w:szCs w:val="22"/>
        </w:rPr>
        <w:t>)</w:t>
      </w:r>
      <w:r w:rsidRPr="00CB5FD4">
        <w:rPr>
          <w:sz w:val="22"/>
          <w:szCs w:val="22"/>
        </w:rPr>
        <w:t xml:space="preserve">, so companies do not </w:t>
      </w:r>
      <w:r w:rsidRPr="00491834">
        <w:rPr>
          <w:sz w:val="22"/>
          <w:szCs w:val="22"/>
        </w:rPr>
        <w:t xml:space="preserve">have to publish the entire information of carbon emissions. </w:t>
      </w:r>
      <w:r w:rsidR="00051BC0" w:rsidRPr="00491834">
        <w:rPr>
          <w:sz w:val="22"/>
          <w:szCs w:val="22"/>
        </w:rPr>
        <w:t>Second,</w:t>
      </w:r>
      <w:r w:rsidRPr="00491834">
        <w:rPr>
          <w:i/>
          <w:sz w:val="22"/>
          <w:szCs w:val="22"/>
        </w:rPr>
        <w:t xml:space="preserve"> </w:t>
      </w:r>
      <w:r w:rsidRPr="00491834">
        <w:rPr>
          <w:sz w:val="22"/>
          <w:szCs w:val="22"/>
        </w:rPr>
        <w:t xml:space="preserve">the samples of this study are all kinds of manufacturing industries whose activities induce distinct effects on environment. Therefore, </w:t>
      </w:r>
      <w:proofErr w:type="spellStart"/>
      <w:r w:rsidRPr="00491834">
        <w:rPr>
          <w:sz w:val="22"/>
          <w:szCs w:val="22"/>
        </w:rPr>
        <w:t>CED</w:t>
      </w:r>
      <w:proofErr w:type="spellEnd"/>
      <w:r w:rsidRPr="00491834">
        <w:rPr>
          <w:sz w:val="22"/>
          <w:szCs w:val="22"/>
        </w:rPr>
        <w:t xml:space="preserve"> depends on the companies’ sectors.  For example, a study conducted by </w:t>
      </w:r>
      <w:r w:rsidRPr="00491834">
        <w:rPr>
          <w:noProof/>
          <w:sz w:val="22"/>
          <w:szCs w:val="22"/>
        </w:rPr>
        <w:t>Yanto and Muzzammil (2016)</w:t>
      </w:r>
      <w:r w:rsidRPr="00491834">
        <w:rPr>
          <w:sz w:val="22"/>
          <w:szCs w:val="22"/>
        </w:rPr>
        <w:t xml:space="preserve"> concludes that profitability negatively affects environmental reporting.</w:t>
      </w:r>
    </w:p>
    <w:p w:rsidR="00F22990" w:rsidRPr="00F22990" w:rsidRDefault="00F22990" w:rsidP="00CB5FD4">
      <w:pPr>
        <w:ind w:firstLine="284"/>
        <w:contextualSpacing/>
        <w:jc w:val="both"/>
        <w:rPr>
          <w:sz w:val="22"/>
          <w:szCs w:val="22"/>
        </w:rPr>
      </w:pPr>
      <w:r w:rsidRPr="00F22990">
        <w:rPr>
          <w:sz w:val="22"/>
          <w:szCs w:val="22"/>
        </w:rPr>
        <w:t xml:space="preserve">Size as the proxy of assets and economy of scale has various effects on leverage, environmental performance, profitability and board size. This study reveals that there is no tendency for larger companies to perform better environmental performance. The ownership of assets and economy of scale do not guarantee better implementation of environmental management. Another factor affecting environmental performance according to </w:t>
      </w:r>
      <w:r w:rsidRPr="00F22990">
        <w:rPr>
          <w:noProof/>
          <w:sz w:val="22"/>
          <w:szCs w:val="22"/>
        </w:rPr>
        <w:t xml:space="preserve">Doonan et al. (2005) is human resources and the willingness of the management to implement environmental accounting. This </w:t>
      </w:r>
      <w:r w:rsidRPr="00F22990">
        <w:rPr>
          <w:sz w:val="22"/>
          <w:szCs w:val="22"/>
        </w:rPr>
        <w:t xml:space="preserve">proves that board size significantly </w:t>
      </w:r>
      <w:r w:rsidR="00330B2F" w:rsidRPr="00F22990">
        <w:rPr>
          <w:sz w:val="22"/>
          <w:szCs w:val="22"/>
        </w:rPr>
        <w:t>affects</w:t>
      </w:r>
      <w:r w:rsidRPr="00F22990">
        <w:rPr>
          <w:sz w:val="22"/>
          <w:szCs w:val="22"/>
        </w:rPr>
        <w:t xml:space="preserve"> environmental performance.</w:t>
      </w:r>
    </w:p>
    <w:p w:rsidR="00F22990" w:rsidRPr="00491834" w:rsidRDefault="00F22990" w:rsidP="00CB5FD4">
      <w:pPr>
        <w:ind w:firstLine="284"/>
        <w:contextualSpacing/>
        <w:jc w:val="both"/>
        <w:rPr>
          <w:sz w:val="22"/>
          <w:szCs w:val="22"/>
        </w:rPr>
      </w:pPr>
      <w:r w:rsidRPr="00F22990">
        <w:rPr>
          <w:sz w:val="22"/>
          <w:szCs w:val="22"/>
        </w:rPr>
        <w:t xml:space="preserve">Company size significantly affects board size, which means that the larger the companies are, the more the boards of the commissioners they will have. </w:t>
      </w:r>
      <w:r w:rsidRPr="00F22990">
        <w:rPr>
          <w:noProof/>
          <w:sz w:val="22"/>
          <w:szCs w:val="22"/>
        </w:rPr>
        <w:t>Dang and Li (2014)</w:t>
      </w:r>
      <w:r w:rsidRPr="00F22990">
        <w:rPr>
          <w:sz w:val="22"/>
          <w:szCs w:val="22"/>
        </w:rPr>
        <w:t xml:space="preserve"> on their study confirm this finding with the same result. This is quite reasonable as a larger company tends to have more matters to handle. Besides, a </w:t>
      </w:r>
      <w:r w:rsidRPr="00491834">
        <w:rPr>
          <w:sz w:val="22"/>
          <w:szCs w:val="22"/>
        </w:rPr>
        <w:t>larger company would have more financial resources to pay the board of the commissioners. This finding may contribute to fill in the gap of limited studies on the relationship between company size and board size in Indonesian manufacturing companies.</w:t>
      </w:r>
    </w:p>
    <w:p w:rsidR="00F22990" w:rsidRPr="00491834" w:rsidRDefault="00F22990" w:rsidP="00330B2F">
      <w:pPr>
        <w:ind w:firstLine="284"/>
        <w:contextualSpacing/>
        <w:jc w:val="both"/>
        <w:rPr>
          <w:sz w:val="22"/>
          <w:szCs w:val="22"/>
        </w:rPr>
      </w:pPr>
      <w:r w:rsidRPr="00491834">
        <w:rPr>
          <w:sz w:val="22"/>
          <w:szCs w:val="22"/>
        </w:rPr>
        <w:t xml:space="preserve">The analysis reveals that company size has positive effects on leverage. In other words, larger companies tend to have higher leverage for some reasons. </w:t>
      </w:r>
      <w:r w:rsidR="00051BC0" w:rsidRPr="00491834">
        <w:rPr>
          <w:sz w:val="22"/>
          <w:szCs w:val="22"/>
        </w:rPr>
        <w:t>First</w:t>
      </w:r>
      <w:r w:rsidRPr="00491834">
        <w:rPr>
          <w:sz w:val="22"/>
          <w:szCs w:val="22"/>
        </w:rPr>
        <w:t xml:space="preserve">, they </w:t>
      </w:r>
      <w:r w:rsidRPr="00491834">
        <w:rPr>
          <w:sz w:val="22"/>
          <w:szCs w:val="22"/>
        </w:rPr>
        <w:lastRenderedPageBreak/>
        <w:t xml:space="preserve">are likely to possess better cash flow than smaller ones which enables them to gain cash whenever they have financial pressure </w:t>
      </w:r>
      <w:r w:rsidRPr="00491834">
        <w:rPr>
          <w:noProof/>
          <w:sz w:val="22"/>
          <w:szCs w:val="22"/>
        </w:rPr>
        <w:t>(Shuetrim et al., 1993)</w:t>
      </w:r>
      <w:r w:rsidRPr="00491834">
        <w:rPr>
          <w:sz w:val="22"/>
          <w:szCs w:val="22"/>
        </w:rPr>
        <w:t xml:space="preserve">. </w:t>
      </w:r>
      <w:r w:rsidR="00051BC0" w:rsidRPr="00491834">
        <w:rPr>
          <w:sz w:val="22"/>
          <w:szCs w:val="22"/>
        </w:rPr>
        <w:t>Second</w:t>
      </w:r>
      <w:r w:rsidRPr="00491834">
        <w:rPr>
          <w:sz w:val="22"/>
          <w:szCs w:val="22"/>
        </w:rPr>
        <w:t xml:space="preserve">, they hold low information asymmetry enabling them to obtain additional liability more easily </w:t>
      </w:r>
      <w:r w:rsidRPr="00491834">
        <w:rPr>
          <w:noProof/>
          <w:sz w:val="22"/>
          <w:szCs w:val="22"/>
        </w:rPr>
        <w:t>(Brierley, 2005)</w:t>
      </w:r>
      <w:r w:rsidRPr="00491834">
        <w:rPr>
          <w:sz w:val="22"/>
          <w:szCs w:val="22"/>
        </w:rPr>
        <w:t xml:space="preserve">. </w:t>
      </w:r>
      <w:r w:rsidR="00051BC0" w:rsidRPr="00491834">
        <w:rPr>
          <w:sz w:val="22"/>
          <w:szCs w:val="22"/>
        </w:rPr>
        <w:t>Third</w:t>
      </w:r>
      <w:r w:rsidRPr="00491834">
        <w:rPr>
          <w:i/>
          <w:sz w:val="22"/>
          <w:szCs w:val="22"/>
        </w:rPr>
        <w:t xml:space="preserve">, </w:t>
      </w:r>
      <w:r w:rsidRPr="00491834">
        <w:rPr>
          <w:sz w:val="22"/>
          <w:szCs w:val="22"/>
        </w:rPr>
        <w:t xml:space="preserve">they have bigger chances to gain trust from others willing to invest in their companies </w:t>
      </w:r>
      <w:r w:rsidRPr="00491834">
        <w:rPr>
          <w:noProof/>
          <w:sz w:val="22"/>
          <w:szCs w:val="22"/>
        </w:rPr>
        <w:t>(Ezeoha, 2008)</w:t>
      </w:r>
      <w:r w:rsidRPr="00491834">
        <w:rPr>
          <w:sz w:val="22"/>
          <w:szCs w:val="22"/>
        </w:rPr>
        <w:t>.</w:t>
      </w:r>
    </w:p>
    <w:p w:rsidR="00F22990" w:rsidRPr="00491834" w:rsidRDefault="005B4591" w:rsidP="00CB5FD4">
      <w:pPr>
        <w:ind w:firstLine="284"/>
        <w:contextualSpacing/>
        <w:jc w:val="both"/>
        <w:rPr>
          <w:sz w:val="22"/>
          <w:szCs w:val="22"/>
        </w:rPr>
      </w:pPr>
      <w:proofErr w:type="spellStart"/>
      <w:r w:rsidRPr="005B4591">
        <w:rPr>
          <w:sz w:val="20"/>
          <w:szCs w:val="20"/>
          <w:lang w:eastAsia="en-AU"/>
        </w:rPr>
        <w:t>Doğan</w:t>
      </w:r>
      <w:proofErr w:type="spellEnd"/>
      <w:r w:rsidR="00F22990" w:rsidRPr="005B4591">
        <w:rPr>
          <w:noProof/>
          <w:sz w:val="20"/>
          <w:szCs w:val="20"/>
        </w:rPr>
        <w:t xml:space="preserve"> </w:t>
      </w:r>
      <w:r>
        <w:rPr>
          <w:noProof/>
          <w:sz w:val="22"/>
          <w:szCs w:val="22"/>
        </w:rPr>
        <w:t>(2013</w:t>
      </w:r>
      <w:r w:rsidR="00F22990" w:rsidRPr="00491834">
        <w:rPr>
          <w:noProof/>
          <w:sz w:val="22"/>
          <w:szCs w:val="22"/>
        </w:rPr>
        <w:t>)</w:t>
      </w:r>
      <w:r w:rsidR="00F22990" w:rsidRPr="00491834">
        <w:rPr>
          <w:sz w:val="22"/>
          <w:szCs w:val="22"/>
        </w:rPr>
        <w:t xml:space="preserve"> and </w:t>
      </w:r>
      <w:r w:rsidR="00F22990" w:rsidRPr="00491834">
        <w:rPr>
          <w:noProof/>
          <w:sz w:val="22"/>
          <w:szCs w:val="22"/>
        </w:rPr>
        <w:t>Dang and Li (2014)</w:t>
      </w:r>
      <w:r w:rsidR="00F22990" w:rsidRPr="00491834">
        <w:rPr>
          <w:sz w:val="22"/>
          <w:szCs w:val="22"/>
        </w:rPr>
        <w:t xml:space="preserve"> also discover that company size affects profitability. In this case, larger companies tend to gain higher profits. This finding is quite logical as larger companies are likely to own higher economy of scale, so they can reduce cost of production. However, a study conducted in mining companies offers different finding suggesting that company size negatively affects profitability </w:t>
      </w:r>
      <w:r w:rsidR="00F22990" w:rsidRPr="00491834">
        <w:rPr>
          <w:noProof/>
          <w:sz w:val="22"/>
          <w:szCs w:val="22"/>
        </w:rPr>
        <w:t xml:space="preserve">(Yanto </w:t>
      </w:r>
      <w:r w:rsidR="003950C8" w:rsidRPr="00491834">
        <w:rPr>
          <w:noProof/>
          <w:sz w:val="22"/>
          <w:szCs w:val="22"/>
        </w:rPr>
        <w:t>and</w:t>
      </w:r>
      <w:r w:rsidR="00F22990" w:rsidRPr="00491834">
        <w:rPr>
          <w:noProof/>
          <w:sz w:val="22"/>
          <w:szCs w:val="22"/>
        </w:rPr>
        <w:t xml:space="preserve"> Muzzammil, 2016)</w:t>
      </w:r>
      <w:r w:rsidR="00F22990" w:rsidRPr="00491834">
        <w:rPr>
          <w:sz w:val="22"/>
          <w:szCs w:val="22"/>
        </w:rPr>
        <w:t>.</w:t>
      </w:r>
    </w:p>
    <w:p w:rsidR="00F22990" w:rsidRPr="00F22990" w:rsidRDefault="00F22990" w:rsidP="00CB5FD4">
      <w:pPr>
        <w:ind w:firstLine="284"/>
        <w:contextualSpacing/>
        <w:jc w:val="both"/>
        <w:rPr>
          <w:noProof/>
          <w:sz w:val="22"/>
          <w:szCs w:val="22"/>
        </w:rPr>
      </w:pPr>
      <w:r w:rsidRPr="00491834">
        <w:rPr>
          <w:sz w:val="22"/>
          <w:szCs w:val="22"/>
        </w:rPr>
        <w:t xml:space="preserve">It is inevitable that economic growth needs fuel consumption that leads to the increase of carbon emissions </w:t>
      </w:r>
      <w:r w:rsidRPr="00491834">
        <w:rPr>
          <w:noProof/>
          <w:sz w:val="22"/>
          <w:szCs w:val="22"/>
        </w:rPr>
        <w:t>(Arouri et al., 2014; Odhiambo, 2012)</w:t>
      </w:r>
      <w:r w:rsidRPr="00491834">
        <w:rPr>
          <w:sz w:val="22"/>
          <w:szCs w:val="22"/>
        </w:rPr>
        <w:t xml:space="preserve">. Amid the fast-growing of carbon emissions in global scale, Indonesia has a significant contribution to the emissions </w:t>
      </w:r>
      <w:r w:rsidRPr="00491834">
        <w:rPr>
          <w:noProof/>
          <w:sz w:val="22"/>
          <w:szCs w:val="22"/>
        </w:rPr>
        <w:t>(Oliver et al., 2013)</w:t>
      </w:r>
      <w:r w:rsidRPr="00491834">
        <w:rPr>
          <w:sz w:val="22"/>
          <w:szCs w:val="22"/>
        </w:rPr>
        <w:t xml:space="preserve">. Therefore, the government of Indonesia has attempted to decrease carbon emissions by 26% in 2030 </w:t>
      </w:r>
      <w:r w:rsidRPr="00491834">
        <w:rPr>
          <w:noProof/>
          <w:sz w:val="22"/>
          <w:szCs w:val="22"/>
        </w:rPr>
        <w:t xml:space="preserve">(Goldenberg, 2015). Then again, this target cannot be achieved without participation from all parties, such as </w:t>
      </w:r>
      <w:r w:rsidRPr="00F22990">
        <w:rPr>
          <w:noProof/>
          <w:sz w:val="22"/>
          <w:szCs w:val="22"/>
        </w:rPr>
        <w:t xml:space="preserve">government, society, and industry. Law enforcement to strengthen PROPER implementation in each manufacturing company is one of effective strategies to control carbon emmissions and to improve companies’ transparency in managing environment. For example, in 2015 PROPER </w:t>
      </w:r>
      <w:r w:rsidRPr="00F22990">
        <w:rPr>
          <w:sz w:val="22"/>
          <w:szCs w:val="22"/>
        </w:rPr>
        <w:t xml:space="preserve">decreased carbon emissions produced from firms as many as 38.9 million tons </w:t>
      </w:r>
      <w:r w:rsidRPr="00F22990">
        <w:rPr>
          <w:noProof/>
          <w:sz w:val="22"/>
          <w:szCs w:val="22"/>
        </w:rPr>
        <w:t>(</w:t>
      </w:r>
      <w:r w:rsidR="00CE7A35">
        <w:rPr>
          <w:noProof/>
          <w:sz w:val="22"/>
          <w:szCs w:val="22"/>
        </w:rPr>
        <w:t>KEMENKLH, 2015</w:t>
      </w:r>
      <w:r w:rsidRPr="00F22990">
        <w:rPr>
          <w:noProof/>
          <w:sz w:val="22"/>
          <w:szCs w:val="22"/>
        </w:rPr>
        <w:t>). Nevertheless, Arouri et al. (2014) suggest that government should be careful in developing alternative energy sources.</w:t>
      </w:r>
    </w:p>
    <w:p w:rsidR="00F22990" w:rsidRPr="00491834" w:rsidRDefault="00F22990" w:rsidP="00CB5FD4">
      <w:pPr>
        <w:ind w:firstLine="284"/>
        <w:contextualSpacing/>
        <w:jc w:val="both"/>
        <w:rPr>
          <w:sz w:val="22"/>
          <w:szCs w:val="22"/>
        </w:rPr>
      </w:pPr>
      <w:r w:rsidRPr="00491834">
        <w:rPr>
          <w:noProof/>
          <w:sz w:val="22"/>
          <w:szCs w:val="22"/>
        </w:rPr>
        <w:t xml:space="preserve">There are several reasons for the importance of strengthening PROPER implementation. </w:t>
      </w:r>
      <w:r w:rsidR="00051BC0" w:rsidRPr="00491834">
        <w:rPr>
          <w:noProof/>
          <w:sz w:val="22"/>
          <w:szCs w:val="22"/>
        </w:rPr>
        <w:t>First</w:t>
      </w:r>
      <w:r w:rsidRPr="00491834">
        <w:rPr>
          <w:noProof/>
          <w:sz w:val="22"/>
          <w:szCs w:val="22"/>
        </w:rPr>
        <w:t>, based on the results, the average of carbon emission disclosure among Indonesian manufacturing companies still is around 24%. In addition, up to now most of the companies (75%) gains only blue ratings while gold-rated companies are only about 4.2%</w:t>
      </w:r>
      <w:r w:rsidRPr="00491834">
        <w:rPr>
          <w:sz w:val="22"/>
          <w:szCs w:val="22"/>
        </w:rPr>
        <w:t xml:space="preserve"> </w:t>
      </w:r>
      <w:r w:rsidRPr="00491834">
        <w:rPr>
          <w:noProof/>
          <w:sz w:val="22"/>
          <w:szCs w:val="22"/>
        </w:rPr>
        <w:t>(KEMENLHK, 2015)</w:t>
      </w:r>
      <w:r w:rsidRPr="00491834">
        <w:rPr>
          <w:sz w:val="22"/>
          <w:szCs w:val="22"/>
        </w:rPr>
        <w:t xml:space="preserve">. Even though, government has also manifested this program in the </w:t>
      </w:r>
      <w:r w:rsidRPr="00491834">
        <w:rPr>
          <w:noProof/>
          <w:sz w:val="22"/>
          <w:szCs w:val="22"/>
        </w:rPr>
        <w:t xml:space="preserve">Law of the Republic Indonesia </w:t>
      </w:r>
      <w:r w:rsidRPr="00491834">
        <w:rPr>
          <w:sz w:val="22"/>
          <w:szCs w:val="22"/>
        </w:rPr>
        <w:t>No 32 of 2009 compelling all firms to actively engage in environmental management, many companies have yet implemented PROPER. Therefore, strengthening the implementation of this program would contribute a lot to control carbon emissions from manufacturing companies in the country.</w:t>
      </w:r>
    </w:p>
    <w:p w:rsidR="00F22990" w:rsidRPr="00CB5FD4" w:rsidRDefault="00CF5A9D" w:rsidP="00CB5FD4">
      <w:pPr>
        <w:ind w:firstLine="284"/>
        <w:contextualSpacing/>
        <w:jc w:val="both"/>
        <w:rPr>
          <w:noProof/>
          <w:sz w:val="22"/>
          <w:szCs w:val="22"/>
        </w:rPr>
      </w:pPr>
      <w:r w:rsidRPr="00491834">
        <w:rPr>
          <w:sz w:val="22"/>
          <w:szCs w:val="22"/>
        </w:rPr>
        <w:t>Second</w:t>
      </w:r>
      <w:r w:rsidR="00F22990" w:rsidRPr="00491834">
        <w:rPr>
          <w:sz w:val="22"/>
          <w:szCs w:val="22"/>
        </w:rPr>
        <w:t xml:space="preserve">, good PROPER implementation would benefit companies. The companies would be able to cope with pressures from society, market, stockholders, and international community </w:t>
      </w:r>
      <w:r w:rsidR="00F22990" w:rsidRPr="00491834">
        <w:rPr>
          <w:noProof/>
          <w:sz w:val="22"/>
          <w:szCs w:val="22"/>
        </w:rPr>
        <w:t xml:space="preserve">(Gonzalez-Gonzalez </w:t>
      </w:r>
      <w:r w:rsidR="00344650" w:rsidRPr="00491834">
        <w:rPr>
          <w:noProof/>
          <w:sz w:val="22"/>
          <w:szCs w:val="22"/>
        </w:rPr>
        <w:t>and</w:t>
      </w:r>
      <w:r w:rsidR="00F22990" w:rsidRPr="00491834">
        <w:rPr>
          <w:noProof/>
          <w:sz w:val="22"/>
          <w:szCs w:val="22"/>
        </w:rPr>
        <w:t xml:space="preserve"> Ramirez, 2016; Liesen et al., 2015)</w:t>
      </w:r>
      <w:r w:rsidR="00F22990" w:rsidRPr="00491834">
        <w:rPr>
          <w:sz w:val="22"/>
          <w:szCs w:val="22"/>
        </w:rPr>
        <w:t xml:space="preserve">, because the company's operations are already environment friendly. As a result, companies would be granted legitimacy from society </w:t>
      </w:r>
      <w:r w:rsidR="00F22990" w:rsidRPr="00491834">
        <w:rPr>
          <w:noProof/>
          <w:sz w:val="22"/>
          <w:szCs w:val="22"/>
        </w:rPr>
        <w:t xml:space="preserve">(Dowling </w:t>
      </w:r>
      <w:r w:rsidR="00344650" w:rsidRPr="00491834">
        <w:rPr>
          <w:noProof/>
          <w:sz w:val="22"/>
          <w:szCs w:val="22"/>
        </w:rPr>
        <w:t>and</w:t>
      </w:r>
      <w:r w:rsidR="00F22990" w:rsidRPr="00491834">
        <w:rPr>
          <w:noProof/>
          <w:sz w:val="22"/>
          <w:szCs w:val="22"/>
        </w:rPr>
        <w:t xml:space="preserve"> Pfeffer, 1975; O’Donovan, 2002)</w:t>
      </w:r>
      <w:r w:rsidR="00F22990" w:rsidRPr="00491834">
        <w:rPr>
          <w:sz w:val="22"/>
          <w:szCs w:val="22"/>
        </w:rPr>
        <w:t xml:space="preserve">. Strong PROPER implementation would enable companies to deal with governmental pressure related to compliance with </w:t>
      </w:r>
      <w:r w:rsidR="00F22990" w:rsidRPr="00491834">
        <w:rPr>
          <w:noProof/>
          <w:sz w:val="22"/>
          <w:szCs w:val="22"/>
        </w:rPr>
        <w:t xml:space="preserve">Law No. </w:t>
      </w:r>
      <w:r w:rsidR="00F22990" w:rsidRPr="00CB5FD4">
        <w:rPr>
          <w:noProof/>
          <w:sz w:val="22"/>
          <w:szCs w:val="22"/>
        </w:rPr>
        <w:t>32 of 2009.</w:t>
      </w:r>
    </w:p>
    <w:p w:rsidR="00F22990" w:rsidRPr="00491834" w:rsidRDefault="00F22990" w:rsidP="00CB5FD4">
      <w:pPr>
        <w:ind w:firstLine="284"/>
        <w:contextualSpacing/>
        <w:jc w:val="both"/>
        <w:rPr>
          <w:sz w:val="22"/>
          <w:szCs w:val="22"/>
        </w:rPr>
      </w:pPr>
      <w:r w:rsidRPr="00CB5FD4">
        <w:rPr>
          <w:sz w:val="22"/>
          <w:szCs w:val="22"/>
        </w:rPr>
        <w:t xml:space="preserve">Third, today the people of Indonesia have become more aware of environmental issues </w:t>
      </w:r>
      <w:r w:rsidRPr="00CB5FD4">
        <w:rPr>
          <w:noProof/>
          <w:sz w:val="22"/>
          <w:szCs w:val="22"/>
        </w:rPr>
        <w:t>(</w:t>
      </w:r>
      <w:r w:rsidR="000A299D" w:rsidRPr="00CB5FD4">
        <w:rPr>
          <w:noProof/>
          <w:sz w:val="22"/>
          <w:szCs w:val="22"/>
        </w:rPr>
        <w:t>Genoveva, 2016</w:t>
      </w:r>
      <w:r w:rsidRPr="00CB5FD4">
        <w:rPr>
          <w:noProof/>
          <w:sz w:val="22"/>
          <w:szCs w:val="22"/>
        </w:rPr>
        <w:t>)</w:t>
      </w:r>
      <w:r w:rsidRPr="00CB5FD4">
        <w:rPr>
          <w:sz w:val="22"/>
          <w:szCs w:val="22"/>
        </w:rPr>
        <w:t xml:space="preserve"> that they are in high demand of green products </w:t>
      </w:r>
      <w:r w:rsidRPr="00CB5FD4">
        <w:rPr>
          <w:noProof/>
          <w:sz w:val="22"/>
          <w:szCs w:val="22"/>
        </w:rPr>
        <w:t>(</w:t>
      </w:r>
      <w:r w:rsidR="009C7180" w:rsidRPr="00CB5FD4">
        <w:rPr>
          <w:noProof/>
          <w:sz w:val="22"/>
          <w:szCs w:val="22"/>
        </w:rPr>
        <w:t>Handriana,</w:t>
      </w:r>
      <w:r w:rsidRPr="00CB5FD4">
        <w:rPr>
          <w:noProof/>
          <w:sz w:val="22"/>
          <w:szCs w:val="22"/>
        </w:rPr>
        <w:t xml:space="preserve"> 201</w:t>
      </w:r>
      <w:r w:rsidR="009C7180" w:rsidRPr="00CB5FD4">
        <w:rPr>
          <w:noProof/>
          <w:sz w:val="22"/>
          <w:szCs w:val="22"/>
        </w:rPr>
        <w:t>6</w:t>
      </w:r>
      <w:r w:rsidRPr="00CB5FD4">
        <w:rPr>
          <w:noProof/>
          <w:sz w:val="22"/>
          <w:szCs w:val="22"/>
        </w:rPr>
        <w:t>)</w:t>
      </w:r>
      <w:r w:rsidRPr="00CB5FD4">
        <w:rPr>
          <w:sz w:val="22"/>
          <w:szCs w:val="22"/>
        </w:rPr>
        <w:t xml:space="preserve">. By implementing PROPER properly, the company would get reward from society by receiving higher firm’s value </w:t>
      </w:r>
      <w:r w:rsidRPr="00CB5FD4">
        <w:rPr>
          <w:noProof/>
          <w:sz w:val="22"/>
          <w:szCs w:val="22"/>
        </w:rPr>
        <w:t xml:space="preserve">(Saka </w:t>
      </w:r>
      <w:r w:rsidR="00344650" w:rsidRPr="00CB5FD4">
        <w:rPr>
          <w:noProof/>
          <w:sz w:val="22"/>
          <w:szCs w:val="22"/>
        </w:rPr>
        <w:t>and</w:t>
      </w:r>
      <w:r w:rsidRPr="00CB5FD4">
        <w:rPr>
          <w:noProof/>
          <w:sz w:val="22"/>
          <w:szCs w:val="22"/>
        </w:rPr>
        <w:t xml:space="preserve"> Oshika, 2014)</w:t>
      </w:r>
      <w:r w:rsidRPr="00CB5FD4">
        <w:rPr>
          <w:sz w:val="22"/>
          <w:szCs w:val="22"/>
        </w:rPr>
        <w:t xml:space="preserve">. Therefore, bettering PROPER implementation and broadly reporting carbon emissions in </w:t>
      </w:r>
      <w:r w:rsidRPr="00491834">
        <w:rPr>
          <w:sz w:val="22"/>
          <w:szCs w:val="22"/>
        </w:rPr>
        <w:lastRenderedPageBreak/>
        <w:t>financial statements would serve as inexpensive advertising in promoting companies’ brand image.</w:t>
      </w:r>
    </w:p>
    <w:p w:rsidR="00F22990" w:rsidRPr="00F22990" w:rsidRDefault="00F22990" w:rsidP="00CB5FD4">
      <w:pPr>
        <w:ind w:firstLine="284"/>
        <w:contextualSpacing/>
        <w:jc w:val="both"/>
        <w:rPr>
          <w:sz w:val="22"/>
          <w:szCs w:val="22"/>
        </w:rPr>
      </w:pPr>
      <w:r w:rsidRPr="00491834">
        <w:rPr>
          <w:sz w:val="22"/>
          <w:szCs w:val="22"/>
        </w:rPr>
        <w:t xml:space="preserve">Fourth, mandatory on environmental disclosure is not strong enough. Law enactment requiring companies to include environmental reports in annual reports has not had a significant impact on environmental disclosure </w:t>
      </w:r>
      <w:r w:rsidRPr="00491834">
        <w:rPr>
          <w:noProof/>
          <w:sz w:val="22"/>
          <w:szCs w:val="22"/>
        </w:rPr>
        <w:t xml:space="preserve">(Costa </w:t>
      </w:r>
      <w:r w:rsidR="00344650" w:rsidRPr="00491834">
        <w:rPr>
          <w:noProof/>
          <w:sz w:val="22"/>
          <w:szCs w:val="22"/>
        </w:rPr>
        <w:t>and</w:t>
      </w:r>
      <w:r w:rsidRPr="00491834">
        <w:rPr>
          <w:noProof/>
          <w:sz w:val="22"/>
          <w:szCs w:val="22"/>
        </w:rPr>
        <w:t xml:space="preserve"> Agostini, 2016; Fallan, 2016)</w:t>
      </w:r>
      <w:r w:rsidRPr="00491834">
        <w:rPr>
          <w:sz w:val="22"/>
          <w:szCs w:val="22"/>
        </w:rPr>
        <w:t xml:space="preserve">. Likewise, </w:t>
      </w:r>
      <w:r w:rsidRPr="00491834">
        <w:rPr>
          <w:noProof/>
          <w:sz w:val="22"/>
          <w:szCs w:val="22"/>
        </w:rPr>
        <w:t>Freedman and Park (2014)</w:t>
      </w:r>
      <w:r w:rsidRPr="00491834">
        <w:rPr>
          <w:sz w:val="22"/>
          <w:szCs w:val="22"/>
        </w:rPr>
        <w:t xml:space="preserve"> also find that the impact of climate change disclosure mandate in the US has yet reached satisfactory results. Therefore, mandating environmental disclosure is not strong enough to encourage </w:t>
      </w:r>
      <w:r w:rsidRPr="00F22990">
        <w:rPr>
          <w:sz w:val="22"/>
          <w:szCs w:val="22"/>
        </w:rPr>
        <w:t xml:space="preserve">companies to disclose more environmental information. Government pressure in the form of PROPER implementation becomes more pivotal in controlling companies’ carbon emissions as well as increasing companies’ </w:t>
      </w:r>
      <w:proofErr w:type="spellStart"/>
      <w:r w:rsidRPr="00F22990">
        <w:rPr>
          <w:sz w:val="22"/>
          <w:szCs w:val="22"/>
        </w:rPr>
        <w:t>CED</w:t>
      </w:r>
      <w:proofErr w:type="spellEnd"/>
      <w:r w:rsidRPr="00F22990">
        <w:rPr>
          <w:sz w:val="22"/>
          <w:szCs w:val="22"/>
        </w:rPr>
        <w:t>.</w:t>
      </w:r>
    </w:p>
    <w:p w:rsidR="00F22990" w:rsidRPr="00491834" w:rsidRDefault="00F22990" w:rsidP="00CB5FD4">
      <w:pPr>
        <w:ind w:firstLine="284"/>
        <w:contextualSpacing/>
        <w:jc w:val="both"/>
        <w:rPr>
          <w:sz w:val="22"/>
          <w:szCs w:val="22"/>
        </w:rPr>
      </w:pPr>
      <w:r w:rsidRPr="00491834">
        <w:rPr>
          <w:sz w:val="22"/>
          <w:szCs w:val="22"/>
        </w:rPr>
        <w:t xml:space="preserve">In relation to </w:t>
      </w:r>
      <w:proofErr w:type="spellStart"/>
      <w:r w:rsidRPr="00491834">
        <w:rPr>
          <w:sz w:val="22"/>
          <w:szCs w:val="22"/>
        </w:rPr>
        <w:t>CED</w:t>
      </w:r>
      <w:proofErr w:type="spellEnd"/>
      <w:r w:rsidRPr="00491834">
        <w:rPr>
          <w:sz w:val="22"/>
          <w:szCs w:val="22"/>
        </w:rPr>
        <w:t xml:space="preserve">, two policies need to be synchronized </w:t>
      </w:r>
      <w:r w:rsidRPr="00491834">
        <w:rPr>
          <w:i/>
          <w:sz w:val="22"/>
          <w:szCs w:val="22"/>
        </w:rPr>
        <w:t>i.e.</w:t>
      </w:r>
      <w:r w:rsidRPr="00491834">
        <w:rPr>
          <w:sz w:val="22"/>
          <w:szCs w:val="22"/>
        </w:rPr>
        <w:t xml:space="preserve"> companies’ mandatory to participate in PROPER and voluntary to disclose carbon emission. The government and </w:t>
      </w:r>
      <w:proofErr w:type="spellStart"/>
      <w:r w:rsidRPr="00491834">
        <w:rPr>
          <w:sz w:val="22"/>
          <w:szCs w:val="22"/>
        </w:rPr>
        <w:t>IAI</w:t>
      </w:r>
      <w:proofErr w:type="spellEnd"/>
      <w:r w:rsidRPr="00491834">
        <w:rPr>
          <w:sz w:val="22"/>
          <w:szCs w:val="22"/>
        </w:rPr>
        <w:t xml:space="preserve"> are required to compel companies to disclose their environmental reports including carbon emission report. Same as suggested by </w:t>
      </w:r>
      <w:r w:rsidRPr="00491834">
        <w:rPr>
          <w:noProof/>
          <w:sz w:val="22"/>
          <w:szCs w:val="22"/>
        </w:rPr>
        <w:t>Li et al. (2017)</w:t>
      </w:r>
      <w:r w:rsidRPr="00491834">
        <w:rPr>
          <w:sz w:val="22"/>
          <w:szCs w:val="22"/>
        </w:rPr>
        <w:t xml:space="preserve"> that environmental disclosure should be mandatory for Chinese companies. This is essential to encourage them to be more transparent, accountable, and responsible in managing environment. </w:t>
      </w:r>
    </w:p>
    <w:p w:rsidR="00F22990" w:rsidRPr="00F22990" w:rsidRDefault="00F22990" w:rsidP="00F22990">
      <w:pPr>
        <w:contextualSpacing/>
        <w:jc w:val="both"/>
        <w:rPr>
          <w:b/>
          <w:sz w:val="22"/>
          <w:szCs w:val="22"/>
        </w:rPr>
      </w:pPr>
    </w:p>
    <w:p w:rsidR="00330B2F" w:rsidRDefault="00330B2F" w:rsidP="00F22990">
      <w:pPr>
        <w:contextualSpacing/>
        <w:jc w:val="both"/>
        <w:rPr>
          <w:b/>
          <w:sz w:val="22"/>
          <w:szCs w:val="22"/>
        </w:rPr>
      </w:pPr>
    </w:p>
    <w:p w:rsidR="00F22990" w:rsidRPr="00F22990" w:rsidRDefault="00CB5FD4" w:rsidP="00F22990">
      <w:pPr>
        <w:contextualSpacing/>
        <w:jc w:val="both"/>
        <w:rPr>
          <w:b/>
          <w:sz w:val="22"/>
          <w:szCs w:val="22"/>
        </w:rPr>
      </w:pPr>
      <w:r w:rsidRPr="00F22990">
        <w:rPr>
          <w:b/>
          <w:sz w:val="22"/>
          <w:szCs w:val="22"/>
        </w:rPr>
        <w:t>CONCLU</w:t>
      </w:r>
      <w:r>
        <w:rPr>
          <w:b/>
          <w:sz w:val="22"/>
          <w:szCs w:val="22"/>
        </w:rPr>
        <w:t>DING COMMENTS</w:t>
      </w:r>
    </w:p>
    <w:p w:rsidR="00F22990" w:rsidRPr="00F22990" w:rsidRDefault="00F22990" w:rsidP="00F22990">
      <w:pPr>
        <w:contextualSpacing/>
        <w:jc w:val="both"/>
        <w:rPr>
          <w:sz w:val="22"/>
          <w:szCs w:val="22"/>
        </w:rPr>
      </w:pPr>
    </w:p>
    <w:p w:rsidR="00F22990" w:rsidRPr="00F22990" w:rsidRDefault="00F22990" w:rsidP="00F22990">
      <w:pPr>
        <w:contextualSpacing/>
        <w:jc w:val="both"/>
        <w:rPr>
          <w:sz w:val="22"/>
          <w:szCs w:val="22"/>
        </w:rPr>
      </w:pPr>
      <w:r w:rsidRPr="00F22990">
        <w:rPr>
          <w:sz w:val="22"/>
          <w:szCs w:val="22"/>
        </w:rPr>
        <w:t xml:space="preserve">Although PROPER is mandatory to be applied in Indonesian manufacturing companies, most of companies (75%) gains blue ratings with average Carbon Emission Disclosure reaches only 24%. </w:t>
      </w:r>
      <w:proofErr w:type="spellStart"/>
      <w:r w:rsidRPr="00F22990">
        <w:rPr>
          <w:sz w:val="22"/>
          <w:szCs w:val="22"/>
        </w:rPr>
        <w:t>CED</w:t>
      </w:r>
      <w:proofErr w:type="spellEnd"/>
      <w:r w:rsidRPr="00F22990">
        <w:rPr>
          <w:sz w:val="22"/>
          <w:szCs w:val="22"/>
        </w:rPr>
        <w:t xml:space="preserve"> on manufacturing companies is affected by environmental performance (PROPER rating) and board size, but leverage and profitability do not impact on </w:t>
      </w:r>
      <w:proofErr w:type="spellStart"/>
      <w:r w:rsidRPr="00F22990">
        <w:rPr>
          <w:sz w:val="22"/>
          <w:szCs w:val="22"/>
        </w:rPr>
        <w:t>CED</w:t>
      </w:r>
      <w:proofErr w:type="spellEnd"/>
      <w:r w:rsidRPr="00F22990">
        <w:rPr>
          <w:sz w:val="22"/>
          <w:szCs w:val="22"/>
        </w:rPr>
        <w:t xml:space="preserve">. Environmental performance is affected by board size and profitability, while company size and leverage do not have significant effects on environmental performance. The insignificant effect of leverage and </w:t>
      </w:r>
      <w:proofErr w:type="spellStart"/>
      <w:r w:rsidRPr="00F22990">
        <w:rPr>
          <w:sz w:val="22"/>
          <w:szCs w:val="22"/>
        </w:rPr>
        <w:t>ROA</w:t>
      </w:r>
      <w:proofErr w:type="spellEnd"/>
      <w:r w:rsidRPr="00F22990">
        <w:rPr>
          <w:sz w:val="22"/>
          <w:szCs w:val="22"/>
        </w:rPr>
        <w:t xml:space="preserve"> on </w:t>
      </w:r>
      <w:proofErr w:type="spellStart"/>
      <w:r w:rsidRPr="00F22990">
        <w:rPr>
          <w:sz w:val="22"/>
          <w:szCs w:val="22"/>
        </w:rPr>
        <w:t>CED</w:t>
      </w:r>
      <w:proofErr w:type="spellEnd"/>
      <w:r w:rsidRPr="00F22990">
        <w:rPr>
          <w:sz w:val="22"/>
          <w:szCs w:val="22"/>
        </w:rPr>
        <w:t xml:space="preserve"> is likely to be caused by the fact that </w:t>
      </w:r>
      <w:proofErr w:type="spellStart"/>
      <w:r w:rsidRPr="00F22990">
        <w:rPr>
          <w:sz w:val="22"/>
          <w:szCs w:val="22"/>
        </w:rPr>
        <w:t>CED</w:t>
      </w:r>
      <w:proofErr w:type="spellEnd"/>
      <w:r w:rsidRPr="00F22990">
        <w:rPr>
          <w:sz w:val="22"/>
          <w:szCs w:val="22"/>
        </w:rPr>
        <w:t xml:space="preserve"> is voluntary, so companies with low </w:t>
      </w:r>
      <w:proofErr w:type="spellStart"/>
      <w:r w:rsidRPr="00F22990">
        <w:rPr>
          <w:sz w:val="22"/>
          <w:szCs w:val="22"/>
        </w:rPr>
        <w:t>CED</w:t>
      </w:r>
      <w:proofErr w:type="spellEnd"/>
      <w:r w:rsidRPr="00F22990">
        <w:rPr>
          <w:sz w:val="22"/>
          <w:szCs w:val="22"/>
        </w:rPr>
        <w:t xml:space="preserve"> reporting would not get any penalty.</w:t>
      </w:r>
    </w:p>
    <w:p w:rsidR="00F22990" w:rsidRPr="00491834" w:rsidRDefault="00F22990" w:rsidP="00CB5FD4">
      <w:pPr>
        <w:ind w:firstLine="284"/>
        <w:contextualSpacing/>
        <w:jc w:val="both"/>
        <w:rPr>
          <w:sz w:val="22"/>
          <w:szCs w:val="22"/>
        </w:rPr>
      </w:pPr>
      <w:r w:rsidRPr="00491834">
        <w:rPr>
          <w:sz w:val="22"/>
          <w:szCs w:val="22"/>
        </w:rPr>
        <w:t xml:space="preserve">Carbon emissions from economic activities in Indonesia keep increasing gradually over years. </w:t>
      </w:r>
      <w:r w:rsidR="00B76D4A" w:rsidRPr="00491834">
        <w:rPr>
          <w:sz w:val="22"/>
          <w:szCs w:val="22"/>
        </w:rPr>
        <w:t>T</w:t>
      </w:r>
      <w:r w:rsidRPr="00491834">
        <w:rPr>
          <w:sz w:val="22"/>
          <w:szCs w:val="22"/>
        </w:rPr>
        <w:t xml:space="preserve">o reduce carbon emissions, Indonesian government and all manufacturing companies should strengthen the implementation of PROPER. This will lead to positive impacts on the companies and environment, such as carbon emission control, less governmental and social pressures, and the promotion companies’ brand image. </w:t>
      </w:r>
    </w:p>
    <w:p w:rsidR="00F22990" w:rsidRPr="00491834" w:rsidRDefault="00F22990" w:rsidP="00CB5FD4">
      <w:pPr>
        <w:ind w:firstLine="284"/>
        <w:contextualSpacing/>
        <w:jc w:val="both"/>
        <w:rPr>
          <w:sz w:val="22"/>
          <w:szCs w:val="22"/>
        </w:rPr>
      </w:pPr>
      <w:r w:rsidRPr="00491834">
        <w:rPr>
          <w:sz w:val="22"/>
          <w:szCs w:val="22"/>
        </w:rPr>
        <w:t xml:space="preserve">The implementation of PROPER has already been mandatory despite many companies has yet implemented it, so policies on environmental reporting and carbon emissions should be mandatory as well. The government and </w:t>
      </w:r>
      <w:proofErr w:type="spellStart"/>
      <w:r w:rsidRPr="00491834">
        <w:rPr>
          <w:sz w:val="22"/>
          <w:szCs w:val="22"/>
        </w:rPr>
        <w:t>IAI</w:t>
      </w:r>
      <w:proofErr w:type="spellEnd"/>
      <w:r w:rsidRPr="00491834">
        <w:rPr>
          <w:sz w:val="22"/>
          <w:szCs w:val="22"/>
        </w:rPr>
        <w:t xml:space="preserve"> are required to compel all companies to publish their environmental management in their annual reports as an act of responsibility towards society, stockholders and government. The study concludes that strengthening the implementation of PROPER could improve manufacturing companies’ performance in managing environment. The program is considered effective in increasing </w:t>
      </w:r>
      <w:proofErr w:type="spellStart"/>
      <w:r w:rsidRPr="00491834">
        <w:rPr>
          <w:sz w:val="22"/>
          <w:szCs w:val="22"/>
        </w:rPr>
        <w:t>CED</w:t>
      </w:r>
      <w:proofErr w:type="spellEnd"/>
      <w:r w:rsidRPr="00491834">
        <w:rPr>
          <w:sz w:val="22"/>
          <w:szCs w:val="22"/>
        </w:rPr>
        <w:t xml:space="preserve"> in annual reports by Indonesian manufacturing companies. PROPER is one of the new hopes for reducing carbon emissions that are continuously increasing from the country.</w:t>
      </w:r>
      <w:r w:rsidR="0004189E" w:rsidRPr="00491834">
        <w:rPr>
          <w:sz w:val="22"/>
          <w:szCs w:val="22"/>
        </w:rPr>
        <w:t xml:space="preserve"> </w:t>
      </w:r>
      <w:r w:rsidR="00364207" w:rsidRPr="00491834">
        <w:rPr>
          <w:sz w:val="22"/>
          <w:szCs w:val="22"/>
        </w:rPr>
        <w:t xml:space="preserve">Further studies are required to investigate the impacts of </w:t>
      </w:r>
      <w:proofErr w:type="spellStart"/>
      <w:r w:rsidR="00364207" w:rsidRPr="00491834">
        <w:rPr>
          <w:sz w:val="22"/>
          <w:szCs w:val="22"/>
        </w:rPr>
        <w:t>CED</w:t>
      </w:r>
      <w:proofErr w:type="spellEnd"/>
      <w:r w:rsidR="00364207" w:rsidRPr="00491834">
        <w:rPr>
          <w:sz w:val="22"/>
          <w:szCs w:val="22"/>
        </w:rPr>
        <w:t xml:space="preserve"> on firms’ value.</w:t>
      </w:r>
    </w:p>
    <w:p w:rsidR="00FF7E34" w:rsidRPr="00CB5FD4" w:rsidRDefault="00FF7E34" w:rsidP="00FF7E34">
      <w:pPr>
        <w:contextualSpacing/>
        <w:jc w:val="both"/>
        <w:rPr>
          <w:b/>
          <w:caps/>
          <w:sz w:val="22"/>
          <w:szCs w:val="22"/>
        </w:rPr>
      </w:pPr>
      <w:r w:rsidRPr="00CB5FD4">
        <w:rPr>
          <w:b/>
          <w:caps/>
          <w:sz w:val="22"/>
          <w:szCs w:val="22"/>
        </w:rPr>
        <w:lastRenderedPageBreak/>
        <w:t>Limitation of the research</w:t>
      </w:r>
    </w:p>
    <w:p w:rsidR="00B76D4A" w:rsidRPr="00491834" w:rsidRDefault="00B76D4A" w:rsidP="00B76D4A">
      <w:pPr>
        <w:contextualSpacing/>
        <w:jc w:val="both"/>
        <w:rPr>
          <w:b/>
          <w:sz w:val="22"/>
          <w:szCs w:val="22"/>
        </w:rPr>
      </w:pPr>
    </w:p>
    <w:p w:rsidR="00F22990" w:rsidRPr="00491834" w:rsidRDefault="00F22990" w:rsidP="00B76D4A">
      <w:pPr>
        <w:contextualSpacing/>
        <w:jc w:val="both"/>
        <w:rPr>
          <w:sz w:val="22"/>
          <w:szCs w:val="22"/>
        </w:rPr>
      </w:pPr>
      <w:r w:rsidRPr="00491834">
        <w:rPr>
          <w:sz w:val="22"/>
          <w:szCs w:val="22"/>
        </w:rPr>
        <w:t>This study only measures the breadth of carbon emissions disclosed in annual reports and do</w:t>
      </w:r>
      <w:r w:rsidR="0052350C" w:rsidRPr="00491834">
        <w:rPr>
          <w:sz w:val="22"/>
          <w:szCs w:val="22"/>
        </w:rPr>
        <w:t>es</w:t>
      </w:r>
      <w:r w:rsidRPr="00491834">
        <w:rPr>
          <w:sz w:val="22"/>
          <w:szCs w:val="22"/>
        </w:rPr>
        <w:t xml:space="preserve"> not measure the actual amount of carbon released to the atmosphere </w:t>
      </w:r>
      <w:r w:rsidR="0052350C" w:rsidRPr="00491834">
        <w:rPr>
          <w:sz w:val="22"/>
          <w:szCs w:val="22"/>
        </w:rPr>
        <w:t xml:space="preserve">due to </w:t>
      </w:r>
      <w:r w:rsidRPr="00491834">
        <w:rPr>
          <w:sz w:val="22"/>
          <w:szCs w:val="22"/>
        </w:rPr>
        <w:t>companies’ operation. Research to identify financial and human resources factors influenc</w:t>
      </w:r>
      <w:r w:rsidR="0052350C" w:rsidRPr="00491834">
        <w:rPr>
          <w:sz w:val="22"/>
          <w:szCs w:val="22"/>
        </w:rPr>
        <w:t>ing</w:t>
      </w:r>
      <w:r w:rsidRPr="00491834">
        <w:rPr>
          <w:sz w:val="22"/>
          <w:szCs w:val="22"/>
        </w:rPr>
        <w:t xml:space="preserve"> actual carbon emissions nee</w:t>
      </w:r>
      <w:r w:rsidR="0052350C" w:rsidRPr="00491834">
        <w:rPr>
          <w:sz w:val="22"/>
          <w:szCs w:val="22"/>
        </w:rPr>
        <w:t>ds to be conducted immediately.</w:t>
      </w:r>
    </w:p>
    <w:p w:rsidR="00F22990" w:rsidRPr="00491834" w:rsidRDefault="00F22990" w:rsidP="00F22990">
      <w:pPr>
        <w:jc w:val="both"/>
        <w:rPr>
          <w:b/>
          <w:sz w:val="22"/>
          <w:szCs w:val="22"/>
        </w:rPr>
      </w:pPr>
    </w:p>
    <w:p w:rsidR="00330B2F" w:rsidRPr="00491834" w:rsidRDefault="00330B2F" w:rsidP="00F22990">
      <w:pPr>
        <w:jc w:val="both"/>
        <w:rPr>
          <w:b/>
          <w:sz w:val="22"/>
          <w:szCs w:val="22"/>
        </w:rPr>
      </w:pPr>
    </w:p>
    <w:p w:rsidR="00F22990" w:rsidRPr="00F22990" w:rsidRDefault="00F22990" w:rsidP="00F22990">
      <w:pPr>
        <w:jc w:val="both"/>
        <w:rPr>
          <w:b/>
          <w:sz w:val="22"/>
          <w:szCs w:val="22"/>
        </w:rPr>
      </w:pPr>
      <w:r w:rsidRPr="00F22990">
        <w:rPr>
          <w:b/>
          <w:sz w:val="22"/>
          <w:szCs w:val="22"/>
        </w:rPr>
        <w:t>REFERENCES</w:t>
      </w:r>
    </w:p>
    <w:p w:rsidR="00F22990" w:rsidRPr="00F22990" w:rsidRDefault="00F22990" w:rsidP="00F22990">
      <w:pPr>
        <w:pStyle w:val="EndNoteBibliography"/>
        <w:spacing w:after="0"/>
        <w:ind w:left="360" w:hanging="360"/>
        <w:rPr>
          <w:rFonts w:ascii="Times New Roman" w:hAnsi="Times New Roman" w:cs="Times New Roman"/>
        </w:rPr>
      </w:pPr>
      <w:bookmarkStart w:id="3" w:name="_ENREF_1"/>
    </w:p>
    <w:p w:rsidR="00A66032"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Al-Tuwaijri, S.A., Christensen, T.E., </w:t>
      </w:r>
      <w:r w:rsidR="003950C8"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Hughes, K. (2004). The relations among environmental disclosure, environmental performance, and economic performance: a simultaneous equations approach. </w:t>
      </w:r>
      <w:r w:rsidRPr="00CB5FD4">
        <w:rPr>
          <w:rFonts w:ascii="Times New Roman" w:hAnsi="Times New Roman" w:cs="Times New Roman"/>
          <w:i/>
          <w:sz w:val="20"/>
          <w:szCs w:val="20"/>
        </w:rPr>
        <w:t xml:space="preserve">Accounting, organizations and society, </w:t>
      </w:r>
      <w:r w:rsidRPr="00CB5FD4">
        <w:rPr>
          <w:rFonts w:ascii="Times New Roman" w:hAnsi="Times New Roman" w:cs="Times New Roman"/>
          <w:sz w:val="20"/>
          <w:szCs w:val="20"/>
        </w:rPr>
        <w:t>29(5)</w:t>
      </w:r>
      <w:r w:rsidR="003950C8" w:rsidRPr="00CB5FD4">
        <w:rPr>
          <w:rFonts w:ascii="Times New Roman" w:hAnsi="Times New Roman" w:cs="Times New Roman"/>
          <w:sz w:val="20"/>
          <w:szCs w:val="20"/>
        </w:rPr>
        <w:t>:</w:t>
      </w:r>
      <w:r w:rsidRPr="00CB5FD4">
        <w:rPr>
          <w:rFonts w:ascii="Times New Roman" w:hAnsi="Times New Roman" w:cs="Times New Roman"/>
          <w:sz w:val="20"/>
          <w:szCs w:val="20"/>
        </w:rPr>
        <w:t xml:space="preserve"> 447-471.</w:t>
      </w:r>
      <w:bookmarkStart w:id="4" w:name="_ENREF_2"/>
      <w:bookmarkEnd w:id="3"/>
    </w:p>
    <w:p w:rsidR="0040602D" w:rsidRPr="00CB5FD4" w:rsidRDefault="0040602D" w:rsidP="00A3138A">
      <w:pPr>
        <w:pStyle w:val="EndNoteBibliography"/>
        <w:spacing w:after="0"/>
        <w:ind w:left="284" w:hanging="284"/>
        <w:rPr>
          <w:rFonts w:ascii="Times New Roman" w:hAnsi="Times New Roman" w:cs="Times New Roman"/>
          <w:sz w:val="20"/>
          <w:szCs w:val="20"/>
          <w:lang w:eastAsia="en-AU"/>
        </w:rPr>
      </w:pPr>
      <w:r w:rsidRPr="00CB5FD4">
        <w:rPr>
          <w:rFonts w:ascii="Times New Roman" w:hAnsi="Times New Roman" w:cs="Times New Roman"/>
          <w:sz w:val="20"/>
          <w:szCs w:val="20"/>
          <w:lang w:eastAsia="en-AU"/>
        </w:rPr>
        <w:t xml:space="preserve">Akhiroh, T., and Kiswanto. (2016). The Determinant of </w:t>
      </w:r>
      <w:r w:rsidR="003A25BB" w:rsidRPr="00CB5FD4">
        <w:rPr>
          <w:rFonts w:ascii="Times New Roman" w:hAnsi="Times New Roman" w:cs="Times New Roman"/>
          <w:sz w:val="20"/>
          <w:szCs w:val="20"/>
          <w:lang w:eastAsia="en-AU"/>
        </w:rPr>
        <w:t>c</w:t>
      </w:r>
      <w:r w:rsidRPr="00CB5FD4">
        <w:rPr>
          <w:rFonts w:ascii="Times New Roman" w:hAnsi="Times New Roman" w:cs="Times New Roman"/>
          <w:sz w:val="20"/>
          <w:szCs w:val="20"/>
          <w:lang w:eastAsia="en-AU"/>
        </w:rPr>
        <w:t xml:space="preserve">arbon </w:t>
      </w:r>
      <w:r w:rsidR="003A25BB" w:rsidRPr="00CB5FD4">
        <w:rPr>
          <w:rFonts w:ascii="Times New Roman" w:hAnsi="Times New Roman" w:cs="Times New Roman"/>
          <w:sz w:val="20"/>
          <w:szCs w:val="20"/>
          <w:lang w:eastAsia="en-AU"/>
        </w:rPr>
        <w:t>e</w:t>
      </w:r>
      <w:r w:rsidRPr="00CB5FD4">
        <w:rPr>
          <w:rFonts w:ascii="Times New Roman" w:hAnsi="Times New Roman" w:cs="Times New Roman"/>
          <w:sz w:val="20"/>
          <w:szCs w:val="20"/>
          <w:lang w:eastAsia="en-AU"/>
        </w:rPr>
        <w:t xml:space="preserve">mission </w:t>
      </w:r>
      <w:r w:rsidR="003A25BB" w:rsidRPr="00CB5FD4">
        <w:rPr>
          <w:rFonts w:ascii="Times New Roman" w:hAnsi="Times New Roman" w:cs="Times New Roman"/>
          <w:sz w:val="20"/>
          <w:szCs w:val="20"/>
          <w:lang w:eastAsia="en-AU"/>
        </w:rPr>
        <w:t>d</w:t>
      </w:r>
      <w:r w:rsidRPr="00CB5FD4">
        <w:rPr>
          <w:rFonts w:ascii="Times New Roman" w:hAnsi="Times New Roman" w:cs="Times New Roman"/>
          <w:sz w:val="20"/>
          <w:szCs w:val="20"/>
          <w:lang w:eastAsia="en-AU"/>
        </w:rPr>
        <w:t xml:space="preserve">isclosures. </w:t>
      </w:r>
      <w:r w:rsidRPr="00CB5FD4">
        <w:rPr>
          <w:rFonts w:ascii="Times New Roman" w:hAnsi="Times New Roman" w:cs="Times New Roman"/>
          <w:i/>
          <w:iCs/>
          <w:sz w:val="20"/>
          <w:szCs w:val="20"/>
          <w:lang w:eastAsia="en-AU"/>
        </w:rPr>
        <w:t xml:space="preserve">Accounting Analysis Journal, </w:t>
      </w:r>
      <w:r w:rsidRPr="00CB5FD4">
        <w:rPr>
          <w:rFonts w:ascii="Times New Roman" w:hAnsi="Times New Roman" w:cs="Times New Roman"/>
          <w:iCs/>
          <w:sz w:val="20"/>
          <w:szCs w:val="20"/>
          <w:lang w:eastAsia="en-AU"/>
        </w:rPr>
        <w:t>5</w:t>
      </w:r>
      <w:r w:rsidRPr="00CB5FD4">
        <w:rPr>
          <w:rFonts w:ascii="Times New Roman" w:hAnsi="Times New Roman" w:cs="Times New Roman"/>
          <w:sz w:val="20"/>
          <w:szCs w:val="20"/>
          <w:lang w:eastAsia="en-AU"/>
        </w:rPr>
        <w:t>(4)</w:t>
      </w:r>
      <w:r w:rsidR="00E51230" w:rsidRPr="00CB5FD4">
        <w:rPr>
          <w:rFonts w:ascii="Times New Roman" w:hAnsi="Times New Roman" w:cs="Times New Roman"/>
          <w:sz w:val="20"/>
          <w:szCs w:val="20"/>
          <w:lang w:eastAsia="en-AU"/>
        </w:rPr>
        <w:t>:</w:t>
      </w:r>
      <w:r w:rsidRPr="00CB5FD4">
        <w:rPr>
          <w:rFonts w:ascii="Times New Roman" w:hAnsi="Times New Roman" w:cs="Times New Roman"/>
          <w:sz w:val="20"/>
          <w:szCs w:val="20"/>
          <w:lang w:eastAsia="en-AU"/>
        </w:rPr>
        <w:t xml:space="preserve"> 326-336. </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Arouri, M., Uddin, G.S., Chakraborty, S., Chaibi, A., </w:t>
      </w:r>
      <w:r w:rsidR="003950C8"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Foulquier, P. (2014). Business activity and environmental degradation in Mexico. </w:t>
      </w:r>
      <w:r w:rsidRPr="00CB5FD4">
        <w:rPr>
          <w:rFonts w:ascii="Times New Roman" w:hAnsi="Times New Roman" w:cs="Times New Roman"/>
          <w:i/>
          <w:sz w:val="20"/>
          <w:szCs w:val="20"/>
        </w:rPr>
        <w:t xml:space="preserve">Journal of Applied Business Research, </w:t>
      </w:r>
      <w:r w:rsidRPr="00CB5FD4">
        <w:rPr>
          <w:rFonts w:ascii="Times New Roman" w:hAnsi="Times New Roman" w:cs="Times New Roman"/>
          <w:sz w:val="20"/>
          <w:szCs w:val="20"/>
        </w:rPr>
        <w:t>30(1)</w:t>
      </w:r>
      <w:r w:rsidR="003950C8" w:rsidRPr="00CB5FD4">
        <w:rPr>
          <w:rFonts w:ascii="Times New Roman" w:hAnsi="Times New Roman" w:cs="Times New Roman"/>
          <w:sz w:val="20"/>
          <w:szCs w:val="20"/>
        </w:rPr>
        <w:t>:</w:t>
      </w:r>
      <w:r w:rsidRPr="00CB5FD4">
        <w:rPr>
          <w:rFonts w:ascii="Times New Roman" w:hAnsi="Times New Roman" w:cs="Times New Roman"/>
          <w:sz w:val="20"/>
          <w:szCs w:val="20"/>
        </w:rPr>
        <w:t xml:space="preserve"> 291</w:t>
      </w:r>
      <w:r w:rsidR="00216F33" w:rsidRPr="00CB5FD4">
        <w:rPr>
          <w:rFonts w:ascii="Times New Roman" w:hAnsi="Times New Roman" w:cs="Times New Roman"/>
          <w:sz w:val="20"/>
          <w:szCs w:val="20"/>
        </w:rPr>
        <w:t>-300</w:t>
      </w:r>
      <w:r w:rsidRPr="00CB5FD4">
        <w:rPr>
          <w:rFonts w:ascii="Times New Roman" w:hAnsi="Times New Roman" w:cs="Times New Roman"/>
          <w:sz w:val="20"/>
          <w:szCs w:val="20"/>
        </w:rPr>
        <w:t>.</w:t>
      </w:r>
      <w:bookmarkEnd w:id="4"/>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5" w:name="_ENREF_3"/>
      <w:r w:rsidRPr="00CB5FD4">
        <w:rPr>
          <w:rFonts w:ascii="Times New Roman" w:hAnsi="Times New Roman" w:cs="Times New Roman"/>
          <w:sz w:val="20"/>
          <w:szCs w:val="20"/>
        </w:rPr>
        <w:t xml:space="preserve">Bae Choi, B., Lee, D., </w:t>
      </w:r>
      <w:r w:rsidR="003950C8"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Psaros, J. (2013). An analysis of Australian company carbon emission disclosures. </w:t>
      </w:r>
      <w:r w:rsidRPr="00CB5FD4">
        <w:rPr>
          <w:rFonts w:ascii="Times New Roman" w:hAnsi="Times New Roman" w:cs="Times New Roman"/>
          <w:i/>
          <w:sz w:val="20"/>
          <w:szCs w:val="20"/>
        </w:rPr>
        <w:t xml:space="preserve">Pacific Accounting Review, </w:t>
      </w:r>
      <w:r w:rsidRPr="00CB5FD4">
        <w:rPr>
          <w:rFonts w:ascii="Times New Roman" w:hAnsi="Times New Roman" w:cs="Times New Roman"/>
          <w:sz w:val="20"/>
          <w:szCs w:val="20"/>
        </w:rPr>
        <w:t>25(1)</w:t>
      </w:r>
      <w:r w:rsidR="003950C8" w:rsidRPr="00CB5FD4">
        <w:rPr>
          <w:rFonts w:ascii="Times New Roman" w:hAnsi="Times New Roman" w:cs="Times New Roman"/>
          <w:sz w:val="20"/>
          <w:szCs w:val="20"/>
        </w:rPr>
        <w:t>:</w:t>
      </w:r>
      <w:r w:rsidRPr="00CB5FD4">
        <w:rPr>
          <w:rFonts w:ascii="Times New Roman" w:hAnsi="Times New Roman" w:cs="Times New Roman"/>
          <w:sz w:val="20"/>
          <w:szCs w:val="20"/>
        </w:rPr>
        <w:t xml:space="preserve"> 58-79. </w:t>
      </w:r>
      <w:bookmarkEnd w:id="5"/>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6" w:name="_ENREF_4"/>
      <w:r w:rsidRPr="00CB5FD4">
        <w:rPr>
          <w:rFonts w:ascii="Times New Roman" w:hAnsi="Times New Roman" w:cs="Times New Roman"/>
          <w:sz w:val="20"/>
          <w:szCs w:val="20"/>
        </w:rPr>
        <w:t xml:space="preserve">Belkaoui, A., </w:t>
      </w:r>
      <w:r w:rsidR="003950C8"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Karpik, P.G. (1989). Determinants of the corporate decision to disclose social information. </w:t>
      </w:r>
      <w:r w:rsidRPr="00CB5FD4">
        <w:rPr>
          <w:rFonts w:ascii="Times New Roman" w:hAnsi="Times New Roman" w:cs="Times New Roman"/>
          <w:i/>
          <w:sz w:val="20"/>
          <w:szCs w:val="20"/>
        </w:rPr>
        <w:t xml:space="preserve">Accounting, Auditing </w:t>
      </w:r>
      <w:r w:rsidR="00E51230" w:rsidRPr="00CB5FD4">
        <w:rPr>
          <w:rFonts w:ascii="Times New Roman" w:hAnsi="Times New Roman" w:cs="Times New Roman"/>
          <w:i/>
          <w:sz w:val="20"/>
          <w:szCs w:val="20"/>
        </w:rPr>
        <w:t>and</w:t>
      </w:r>
      <w:r w:rsidRPr="00CB5FD4">
        <w:rPr>
          <w:rFonts w:ascii="Times New Roman" w:hAnsi="Times New Roman" w:cs="Times New Roman"/>
          <w:i/>
          <w:sz w:val="20"/>
          <w:szCs w:val="20"/>
        </w:rPr>
        <w:t xml:space="preserve"> Accountability Journal, </w:t>
      </w:r>
      <w:r w:rsidRPr="00CB5FD4">
        <w:rPr>
          <w:rFonts w:ascii="Times New Roman" w:hAnsi="Times New Roman" w:cs="Times New Roman"/>
          <w:sz w:val="20"/>
          <w:szCs w:val="20"/>
        </w:rPr>
        <w:t>2(1)</w:t>
      </w:r>
      <w:r w:rsidR="003950C8" w:rsidRPr="00CB5FD4">
        <w:rPr>
          <w:rFonts w:ascii="Times New Roman" w:hAnsi="Times New Roman" w:cs="Times New Roman"/>
          <w:sz w:val="20"/>
          <w:szCs w:val="20"/>
        </w:rPr>
        <w:t>:</w:t>
      </w:r>
      <w:r w:rsidRPr="00CB5FD4">
        <w:rPr>
          <w:rFonts w:ascii="Times New Roman" w:hAnsi="Times New Roman" w:cs="Times New Roman"/>
          <w:sz w:val="20"/>
          <w:szCs w:val="20"/>
        </w:rPr>
        <w:t xml:space="preserve"> 36-51. </w:t>
      </w:r>
      <w:bookmarkEnd w:id="6"/>
    </w:p>
    <w:p w:rsidR="00001AAE" w:rsidRPr="00CB5FD4" w:rsidRDefault="00001AAE" w:rsidP="00A3138A">
      <w:pPr>
        <w:pStyle w:val="EndNoteBibliography"/>
        <w:spacing w:after="0"/>
        <w:ind w:left="284" w:hanging="284"/>
        <w:rPr>
          <w:rFonts w:ascii="Times New Roman" w:hAnsi="Times New Roman" w:cs="Times New Roman"/>
          <w:sz w:val="20"/>
          <w:szCs w:val="20"/>
        </w:rPr>
      </w:pPr>
      <w:bookmarkStart w:id="7" w:name="_ENREF_5"/>
      <w:r w:rsidRPr="00CB5FD4">
        <w:rPr>
          <w:rFonts w:ascii="Times New Roman" w:hAnsi="Times New Roman" w:cs="Times New Roman"/>
          <w:sz w:val="20"/>
          <w:szCs w:val="20"/>
          <w:lang w:eastAsia="en-AU"/>
        </w:rPr>
        <w:t xml:space="preserve">Bollen, K.A. and Stine, R.A. (1992). Bootstrapping </w:t>
      </w:r>
      <w:r w:rsidR="003A25BB" w:rsidRPr="00CB5FD4">
        <w:rPr>
          <w:rFonts w:ascii="Times New Roman" w:hAnsi="Times New Roman" w:cs="Times New Roman"/>
          <w:sz w:val="20"/>
          <w:szCs w:val="20"/>
          <w:lang w:eastAsia="en-AU"/>
        </w:rPr>
        <w:t>g</w:t>
      </w:r>
      <w:r w:rsidRPr="00CB5FD4">
        <w:rPr>
          <w:rFonts w:ascii="Times New Roman" w:hAnsi="Times New Roman" w:cs="Times New Roman"/>
          <w:sz w:val="20"/>
          <w:szCs w:val="20"/>
          <w:lang w:eastAsia="en-AU"/>
        </w:rPr>
        <w:t>oodness-of-</w:t>
      </w:r>
      <w:r w:rsidR="003A25BB" w:rsidRPr="00CB5FD4">
        <w:rPr>
          <w:rFonts w:ascii="Times New Roman" w:hAnsi="Times New Roman" w:cs="Times New Roman"/>
          <w:sz w:val="20"/>
          <w:szCs w:val="20"/>
          <w:lang w:eastAsia="en-AU"/>
        </w:rPr>
        <w:t>f</w:t>
      </w:r>
      <w:r w:rsidRPr="00CB5FD4">
        <w:rPr>
          <w:rFonts w:ascii="Times New Roman" w:hAnsi="Times New Roman" w:cs="Times New Roman"/>
          <w:sz w:val="20"/>
          <w:szCs w:val="20"/>
          <w:lang w:eastAsia="en-AU"/>
        </w:rPr>
        <w:t xml:space="preserve">it </w:t>
      </w:r>
      <w:r w:rsidR="003A25BB" w:rsidRPr="00CB5FD4">
        <w:rPr>
          <w:rFonts w:ascii="Times New Roman" w:hAnsi="Times New Roman" w:cs="Times New Roman"/>
          <w:sz w:val="20"/>
          <w:szCs w:val="20"/>
          <w:lang w:eastAsia="en-AU"/>
        </w:rPr>
        <w:t>m</w:t>
      </w:r>
      <w:r w:rsidRPr="00CB5FD4">
        <w:rPr>
          <w:rFonts w:ascii="Times New Roman" w:hAnsi="Times New Roman" w:cs="Times New Roman"/>
          <w:sz w:val="20"/>
          <w:szCs w:val="20"/>
          <w:lang w:eastAsia="en-AU"/>
        </w:rPr>
        <w:t xml:space="preserve">easures in </w:t>
      </w:r>
      <w:r w:rsidR="003A25BB" w:rsidRPr="00CB5FD4">
        <w:rPr>
          <w:rFonts w:ascii="Times New Roman" w:hAnsi="Times New Roman" w:cs="Times New Roman"/>
          <w:sz w:val="20"/>
          <w:szCs w:val="20"/>
          <w:lang w:eastAsia="en-AU"/>
        </w:rPr>
        <w:t>s</w:t>
      </w:r>
      <w:r w:rsidRPr="00CB5FD4">
        <w:rPr>
          <w:rFonts w:ascii="Times New Roman" w:hAnsi="Times New Roman" w:cs="Times New Roman"/>
          <w:sz w:val="20"/>
          <w:szCs w:val="20"/>
          <w:lang w:eastAsia="en-AU"/>
        </w:rPr>
        <w:t xml:space="preserve">tructural </w:t>
      </w:r>
      <w:r w:rsidR="003A25BB" w:rsidRPr="00CB5FD4">
        <w:rPr>
          <w:rFonts w:ascii="Times New Roman" w:hAnsi="Times New Roman" w:cs="Times New Roman"/>
          <w:sz w:val="20"/>
          <w:szCs w:val="20"/>
          <w:lang w:eastAsia="en-AU"/>
        </w:rPr>
        <w:t>e</w:t>
      </w:r>
      <w:r w:rsidRPr="00CB5FD4">
        <w:rPr>
          <w:rFonts w:ascii="Times New Roman" w:hAnsi="Times New Roman" w:cs="Times New Roman"/>
          <w:sz w:val="20"/>
          <w:szCs w:val="20"/>
          <w:lang w:eastAsia="en-AU"/>
        </w:rPr>
        <w:t xml:space="preserve">quation </w:t>
      </w:r>
      <w:r w:rsidR="003A25BB" w:rsidRPr="00CB5FD4">
        <w:rPr>
          <w:rFonts w:ascii="Times New Roman" w:hAnsi="Times New Roman" w:cs="Times New Roman"/>
          <w:sz w:val="20"/>
          <w:szCs w:val="20"/>
          <w:lang w:eastAsia="en-AU"/>
        </w:rPr>
        <w:t>m</w:t>
      </w:r>
      <w:r w:rsidRPr="00CB5FD4">
        <w:rPr>
          <w:rFonts w:ascii="Times New Roman" w:hAnsi="Times New Roman" w:cs="Times New Roman"/>
          <w:sz w:val="20"/>
          <w:szCs w:val="20"/>
          <w:lang w:eastAsia="en-AU"/>
        </w:rPr>
        <w:t xml:space="preserve">odels. </w:t>
      </w:r>
      <w:r w:rsidRPr="00CB5FD4">
        <w:rPr>
          <w:rFonts w:ascii="Times New Roman" w:hAnsi="Times New Roman" w:cs="Times New Roman"/>
          <w:i/>
          <w:iCs/>
          <w:sz w:val="20"/>
          <w:szCs w:val="20"/>
          <w:lang w:eastAsia="en-AU"/>
        </w:rPr>
        <w:t xml:space="preserve">Sociological Method </w:t>
      </w:r>
      <w:r w:rsidR="00E51230" w:rsidRPr="00CB5FD4">
        <w:rPr>
          <w:rFonts w:ascii="Times New Roman" w:hAnsi="Times New Roman" w:cs="Times New Roman"/>
          <w:i/>
          <w:iCs/>
          <w:sz w:val="20"/>
          <w:szCs w:val="20"/>
          <w:lang w:eastAsia="en-AU"/>
        </w:rPr>
        <w:t>and</w:t>
      </w:r>
      <w:r w:rsidRPr="00CB5FD4">
        <w:rPr>
          <w:rFonts w:ascii="Times New Roman" w:hAnsi="Times New Roman" w:cs="Times New Roman"/>
          <w:i/>
          <w:iCs/>
          <w:sz w:val="20"/>
          <w:szCs w:val="20"/>
          <w:lang w:eastAsia="en-AU"/>
        </w:rPr>
        <w:t xml:space="preserve"> Research, </w:t>
      </w:r>
      <w:r w:rsidRPr="00CB5FD4">
        <w:rPr>
          <w:rFonts w:ascii="Times New Roman" w:hAnsi="Times New Roman" w:cs="Times New Roman"/>
          <w:iCs/>
          <w:sz w:val="20"/>
          <w:szCs w:val="20"/>
          <w:lang w:eastAsia="en-AU"/>
        </w:rPr>
        <w:t>21</w:t>
      </w:r>
      <w:r w:rsidRPr="00CB5FD4">
        <w:rPr>
          <w:rFonts w:ascii="Times New Roman" w:hAnsi="Times New Roman" w:cs="Times New Roman"/>
          <w:sz w:val="20"/>
          <w:szCs w:val="20"/>
          <w:lang w:eastAsia="en-AU"/>
        </w:rPr>
        <w:t>(2)</w:t>
      </w:r>
      <w:r w:rsidR="00E51230" w:rsidRPr="00CB5FD4">
        <w:rPr>
          <w:rFonts w:ascii="Times New Roman" w:hAnsi="Times New Roman" w:cs="Times New Roman"/>
          <w:sz w:val="20"/>
          <w:szCs w:val="20"/>
          <w:lang w:eastAsia="en-AU"/>
        </w:rPr>
        <w:t>:</w:t>
      </w:r>
      <w:r w:rsidRPr="00CB5FD4">
        <w:rPr>
          <w:rFonts w:ascii="Times New Roman" w:hAnsi="Times New Roman" w:cs="Times New Roman"/>
          <w:sz w:val="20"/>
          <w:szCs w:val="20"/>
          <w:lang w:eastAsia="en-AU"/>
        </w:rPr>
        <w:t xml:space="preserve"> 205-229.</w:t>
      </w:r>
    </w:p>
    <w:p w:rsidR="00A66032"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Brierley, P. (2005). The determination of UK corporate capital gearing. </w:t>
      </w:r>
      <w:r w:rsidRPr="00CB5FD4">
        <w:rPr>
          <w:rFonts w:ascii="Times New Roman" w:hAnsi="Times New Roman" w:cs="Times New Roman"/>
          <w:i/>
          <w:sz w:val="20"/>
          <w:szCs w:val="20"/>
        </w:rPr>
        <w:t>Bank of England Quarterly Bulletin, Autumn</w:t>
      </w:r>
      <w:r w:rsidRPr="00CB5FD4">
        <w:rPr>
          <w:rFonts w:ascii="Times New Roman" w:hAnsi="Times New Roman" w:cs="Times New Roman"/>
          <w:sz w:val="20"/>
          <w:szCs w:val="20"/>
        </w:rPr>
        <w:t>.</w:t>
      </w:r>
      <w:bookmarkEnd w:id="7"/>
    </w:p>
    <w:p w:rsidR="00E31315" w:rsidRPr="00CB5FD4" w:rsidRDefault="00A47782" w:rsidP="00A3138A">
      <w:pPr>
        <w:pStyle w:val="EndNoteBibliography"/>
        <w:spacing w:after="0"/>
        <w:ind w:left="284" w:hanging="284"/>
        <w:rPr>
          <w:sz w:val="20"/>
          <w:szCs w:val="20"/>
          <w:lang w:eastAsia="en-AU"/>
        </w:rPr>
      </w:pPr>
      <w:r w:rsidRPr="00CB5FD4">
        <w:rPr>
          <w:rFonts w:ascii="Times New Roman" w:hAnsi="Times New Roman" w:cs="Times New Roman"/>
          <w:sz w:val="20"/>
          <w:szCs w:val="20"/>
        </w:rPr>
        <w:t>Byrne, B.</w:t>
      </w:r>
      <w:r w:rsidR="00E31315" w:rsidRPr="00CB5FD4">
        <w:rPr>
          <w:rFonts w:ascii="Times New Roman" w:hAnsi="Times New Roman" w:cs="Times New Roman"/>
          <w:sz w:val="20"/>
          <w:szCs w:val="20"/>
        </w:rPr>
        <w:t xml:space="preserve">M. (2009). </w:t>
      </w:r>
      <w:r w:rsidR="00E31315" w:rsidRPr="00CB5FD4">
        <w:rPr>
          <w:rFonts w:ascii="Times New Roman" w:hAnsi="Times New Roman" w:cs="Times New Roman"/>
          <w:iCs/>
          <w:sz w:val="20"/>
          <w:szCs w:val="20"/>
          <w:lang w:eastAsia="en-AU"/>
        </w:rPr>
        <w:t xml:space="preserve">Structural </w:t>
      </w:r>
      <w:r w:rsidR="003A25BB" w:rsidRPr="00CB5FD4">
        <w:rPr>
          <w:rFonts w:ascii="Times New Roman" w:hAnsi="Times New Roman" w:cs="Times New Roman"/>
          <w:iCs/>
          <w:sz w:val="20"/>
          <w:szCs w:val="20"/>
          <w:lang w:eastAsia="en-AU"/>
        </w:rPr>
        <w:t>e</w:t>
      </w:r>
      <w:r w:rsidR="00E31315" w:rsidRPr="00CB5FD4">
        <w:rPr>
          <w:rFonts w:ascii="Times New Roman" w:hAnsi="Times New Roman" w:cs="Times New Roman"/>
          <w:iCs/>
          <w:sz w:val="20"/>
          <w:szCs w:val="20"/>
          <w:lang w:eastAsia="en-AU"/>
        </w:rPr>
        <w:t xml:space="preserve">quation </w:t>
      </w:r>
      <w:r w:rsidR="003A25BB" w:rsidRPr="00CB5FD4">
        <w:rPr>
          <w:rFonts w:ascii="Times New Roman" w:hAnsi="Times New Roman" w:cs="Times New Roman"/>
          <w:iCs/>
          <w:sz w:val="20"/>
          <w:szCs w:val="20"/>
          <w:lang w:eastAsia="en-AU"/>
        </w:rPr>
        <w:t>m</w:t>
      </w:r>
      <w:r w:rsidR="00E31315" w:rsidRPr="00CB5FD4">
        <w:rPr>
          <w:rFonts w:ascii="Times New Roman" w:hAnsi="Times New Roman" w:cs="Times New Roman"/>
          <w:iCs/>
          <w:sz w:val="20"/>
          <w:szCs w:val="20"/>
          <w:lang w:eastAsia="en-AU"/>
        </w:rPr>
        <w:t xml:space="preserve">odeling with AMOS: Basic </w:t>
      </w:r>
      <w:r w:rsidR="003A25BB" w:rsidRPr="00CB5FD4">
        <w:rPr>
          <w:rFonts w:ascii="Times New Roman" w:hAnsi="Times New Roman" w:cs="Times New Roman"/>
          <w:iCs/>
          <w:sz w:val="20"/>
          <w:szCs w:val="20"/>
          <w:lang w:eastAsia="en-AU"/>
        </w:rPr>
        <w:t>c</w:t>
      </w:r>
      <w:r w:rsidR="00E31315" w:rsidRPr="00CB5FD4">
        <w:rPr>
          <w:rFonts w:ascii="Times New Roman" w:hAnsi="Times New Roman" w:cs="Times New Roman"/>
          <w:iCs/>
          <w:sz w:val="20"/>
          <w:szCs w:val="20"/>
          <w:lang w:eastAsia="en-AU"/>
        </w:rPr>
        <w:t xml:space="preserve">oncepts, </w:t>
      </w:r>
      <w:r w:rsidR="003A25BB" w:rsidRPr="00CB5FD4">
        <w:rPr>
          <w:rFonts w:ascii="Times New Roman" w:hAnsi="Times New Roman" w:cs="Times New Roman"/>
          <w:iCs/>
          <w:sz w:val="20"/>
          <w:szCs w:val="20"/>
          <w:lang w:eastAsia="en-AU"/>
        </w:rPr>
        <w:t>a</w:t>
      </w:r>
      <w:r w:rsidR="00E31315" w:rsidRPr="00CB5FD4">
        <w:rPr>
          <w:rFonts w:ascii="Times New Roman" w:hAnsi="Times New Roman" w:cs="Times New Roman"/>
          <w:iCs/>
          <w:sz w:val="20"/>
          <w:szCs w:val="20"/>
          <w:lang w:eastAsia="en-AU"/>
        </w:rPr>
        <w:t xml:space="preserve">pplications, and </w:t>
      </w:r>
      <w:r w:rsidR="003A25BB" w:rsidRPr="00CB5FD4">
        <w:rPr>
          <w:rFonts w:ascii="Times New Roman" w:hAnsi="Times New Roman" w:cs="Times New Roman"/>
          <w:iCs/>
          <w:sz w:val="20"/>
          <w:szCs w:val="20"/>
          <w:lang w:eastAsia="en-AU"/>
        </w:rPr>
        <w:t>p</w:t>
      </w:r>
      <w:r w:rsidR="00E31315" w:rsidRPr="00CB5FD4">
        <w:rPr>
          <w:rFonts w:ascii="Times New Roman" w:hAnsi="Times New Roman" w:cs="Times New Roman"/>
          <w:iCs/>
          <w:sz w:val="20"/>
          <w:szCs w:val="20"/>
          <w:lang w:eastAsia="en-AU"/>
        </w:rPr>
        <w:t>rogramming</w:t>
      </w:r>
      <w:r w:rsidR="00E31315" w:rsidRPr="00CB5FD4">
        <w:rPr>
          <w:rFonts w:ascii="Times New Roman" w:hAnsi="Times New Roman" w:cs="Times New Roman"/>
          <w:sz w:val="20"/>
          <w:szCs w:val="20"/>
          <w:lang w:eastAsia="en-AU"/>
        </w:rPr>
        <w:t xml:space="preserve"> (2 ed.). New York: Routledge.</w:t>
      </w:r>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8" w:name="_ENREF_6"/>
      <w:r w:rsidRPr="00CB5FD4">
        <w:rPr>
          <w:rFonts w:ascii="Times New Roman" w:hAnsi="Times New Roman" w:cs="Times New Roman"/>
          <w:sz w:val="20"/>
          <w:szCs w:val="20"/>
        </w:rPr>
        <w:t xml:space="preserve">Costa, E., </w:t>
      </w:r>
      <w:r w:rsidR="003950C8" w:rsidRPr="00CB5FD4">
        <w:rPr>
          <w:rFonts w:ascii="Times New Roman" w:hAnsi="Times New Roman" w:cs="Times New Roman"/>
          <w:sz w:val="20"/>
          <w:szCs w:val="20"/>
        </w:rPr>
        <w:t>and</w:t>
      </w:r>
      <w:r w:rsidRPr="00CB5FD4">
        <w:rPr>
          <w:rFonts w:ascii="Times New Roman" w:hAnsi="Times New Roman" w:cs="Times New Roman"/>
          <w:sz w:val="20"/>
          <w:szCs w:val="20"/>
        </w:rPr>
        <w:t xml:space="preserve"> Agostini, M. (2016). Mandatory </w:t>
      </w:r>
      <w:r w:rsidR="003A25BB" w:rsidRPr="00CB5FD4">
        <w:rPr>
          <w:rFonts w:ascii="Times New Roman" w:hAnsi="Times New Roman" w:cs="Times New Roman"/>
          <w:sz w:val="20"/>
          <w:szCs w:val="20"/>
        </w:rPr>
        <w:t>d</w:t>
      </w:r>
      <w:r w:rsidRPr="00CB5FD4">
        <w:rPr>
          <w:rFonts w:ascii="Times New Roman" w:hAnsi="Times New Roman" w:cs="Times New Roman"/>
          <w:sz w:val="20"/>
          <w:szCs w:val="20"/>
        </w:rPr>
        <w:t xml:space="preserve">isclosure about </w:t>
      </w:r>
      <w:r w:rsidR="003A25BB" w:rsidRPr="00CB5FD4">
        <w:rPr>
          <w:rFonts w:ascii="Times New Roman" w:hAnsi="Times New Roman" w:cs="Times New Roman"/>
          <w:sz w:val="20"/>
          <w:szCs w:val="20"/>
        </w:rPr>
        <w:t>e</w:t>
      </w:r>
      <w:r w:rsidRPr="00CB5FD4">
        <w:rPr>
          <w:rFonts w:ascii="Times New Roman" w:hAnsi="Times New Roman" w:cs="Times New Roman"/>
          <w:sz w:val="20"/>
          <w:szCs w:val="20"/>
        </w:rPr>
        <w:t xml:space="preserve">nvironmental and </w:t>
      </w:r>
      <w:r w:rsidR="003A25BB" w:rsidRPr="00CB5FD4">
        <w:rPr>
          <w:rFonts w:ascii="Times New Roman" w:hAnsi="Times New Roman" w:cs="Times New Roman"/>
          <w:sz w:val="20"/>
          <w:szCs w:val="20"/>
        </w:rPr>
        <w:t>e</w:t>
      </w:r>
      <w:r w:rsidRPr="00CB5FD4">
        <w:rPr>
          <w:rFonts w:ascii="Times New Roman" w:hAnsi="Times New Roman" w:cs="Times New Roman"/>
          <w:sz w:val="20"/>
          <w:szCs w:val="20"/>
        </w:rPr>
        <w:t xml:space="preserve">mployee </w:t>
      </w:r>
      <w:r w:rsidR="003A25BB" w:rsidRPr="00CB5FD4">
        <w:rPr>
          <w:rFonts w:ascii="Times New Roman" w:hAnsi="Times New Roman" w:cs="Times New Roman"/>
          <w:sz w:val="20"/>
          <w:szCs w:val="20"/>
        </w:rPr>
        <w:t>m</w:t>
      </w:r>
      <w:r w:rsidRPr="00CB5FD4">
        <w:rPr>
          <w:rFonts w:ascii="Times New Roman" w:hAnsi="Times New Roman" w:cs="Times New Roman"/>
          <w:sz w:val="20"/>
          <w:szCs w:val="20"/>
        </w:rPr>
        <w:t xml:space="preserve">atters in the </w:t>
      </w:r>
      <w:r w:rsidR="003A25BB" w:rsidRPr="00CB5FD4">
        <w:rPr>
          <w:rFonts w:ascii="Times New Roman" w:hAnsi="Times New Roman" w:cs="Times New Roman"/>
          <w:sz w:val="20"/>
          <w:szCs w:val="20"/>
        </w:rPr>
        <w:t>r</w:t>
      </w:r>
      <w:r w:rsidRPr="00CB5FD4">
        <w:rPr>
          <w:rFonts w:ascii="Times New Roman" w:hAnsi="Times New Roman" w:cs="Times New Roman"/>
          <w:sz w:val="20"/>
          <w:szCs w:val="20"/>
        </w:rPr>
        <w:t>eports of Italian-</w:t>
      </w:r>
      <w:r w:rsidR="003A25BB" w:rsidRPr="00CB5FD4">
        <w:rPr>
          <w:rFonts w:ascii="Times New Roman" w:hAnsi="Times New Roman" w:cs="Times New Roman"/>
          <w:sz w:val="20"/>
          <w:szCs w:val="20"/>
        </w:rPr>
        <w:t>l</w:t>
      </w:r>
      <w:r w:rsidRPr="00CB5FD4">
        <w:rPr>
          <w:rFonts w:ascii="Times New Roman" w:hAnsi="Times New Roman" w:cs="Times New Roman"/>
          <w:sz w:val="20"/>
          <w:szCs w:val="20"/>
        </w:rPr>
        <w:t xml:space="preserve">isted </w:t>
      </w:r>
      <w:r w:rsidR="003A25BB" w:rsidRPr="00CB5FD4">
        <w:rPr>
          <w:rFonts w:ascii="Times New Roman" w:hAnsi="Times New Roman" w:cs="Times New Roman"/>
          <w:sz w:val="20"/>
          <w:szCs w:val="20"/>
        </w:rPr>
        <w:t>c</w:t>
      </w:r>
      <w:r w:rsidRPr="00CB5FD4">
        <w:rPr>
          <w:rFonts w:ascii="Times New Roman" w:hAnsi="Times New Roman" w:cs="Times New Roman"/>
          <w:sz w:val="20"/>
          <w:szCs w:val="20"/>
        </w:rPr>
        <w:t xml:space="preserve">orporate </w:t>
      </w:r>
      <w:r w:rsidR="003A25BB" w:rsidRPr="00CB5FD4">
        <w:rPr>
          <w:rFonts w:ascii="Times New Roman" w:hAnsi="Times New Roman" w:cs="Times New Roman"/>
          <w:sz w:val="20"/>
          <w:szCs w:val="20"/>
        </w:rPr>
        <w:t>g</w:t>
      </w:r>
      <w:r w:rsidRPr="00CB5FD4">
        <w:rPr>
          <w:rFonts w:ascii="Times New Roman" w:hAnsi="Times New Roman" w:cs="Times New Roman"/>
          <w:sz w:val="20"/>
          <w:szCs w:val="20"/>
        </w:rPr>
        <w:t xml:space="preserve">roups. </w:t>
      </w:r>
      <w:r w:rsidRPr="00CB5FD4">
        <w:rPr>
          <w:rFonts w:ascii="Times New Roman" w:hAnsi="Times New Roman" w:cs="Times New Roman"/>
          <w:i/>
          <w:sz w:val="20"/>
          <w:szCs w:val="20"/>
        </w:rPr>
        <w:t xml:space="preserve">Social and Environmental Accountability Journal, </w:t>
      </w:r>
      <w:r w:rsidRPr="00CB5FD4">
        <w:rPr>
          <w:rFonts w:ascii="Times New Roman" w:hAnsi="Times New Roman" w:cs="Times New Roman"/>
          <w:sz w:val="20"/>
          <w:szCs w:val="20"/>
        </w:rPr>
        <w:t>36(1)</w:t>
      </w:r>
      <w:r w:rsidR="003950C8" w:rsidRPr="00CB5FD4">
        <w:rPr>
          <w:rFonts w:ascii="Times New Roman" w:hAnsi="Times New Roman" w:cs="Times New Roman"/>
          <w:sz w:val="20"/>
          <w:szCs w:val="20"/>
        </w:rPr>
        <w:t>:</w:t>
      </w:r>
      <w:r w:rsidRPr="00CB5FD4">
        <w:rPr>
          <w:rFonts w:ascii="Times New Roman" w:hAnsi="Times New Roman" w:cs="Times New Roman"/>
          <w:sz w:val="20"/>
          <w:szCs w:val="20"/>
        </w:rPr>
        <w:t xml:space="preserve"> 10-33. </w:t>
      </w:r>
      <w:bookmarkEnd w:id="8"/>
    </w:p>
    <w:p w:rsidR="00F22990" w:rsidRPr="00A3138A" w:rsidRDefault="00F22990" w:rsidP="00A3138A">
      <w:pPr>
        <w:pStyle w:val="EndNoteBibliography"/>
        <w:spacing w:after="0"/>
        <w:ind w:left="284" w:hanging="284"/>
        <w:rPr>
          <w:rFonts w:ascii="Times New Roman" w:hAnsi="Times New Roman" w:cs="Times New Roman"/>
          <w:sz w:val="20"/>
          <w:szCs w:val="20"/>
        </w:rPr>
      </w:pPr>
      <w:bookmarkStart w:id="9" w:name="_ENREF_7"/>
      <w:r w:rsidRPr="00A3138A">
        <w:rPr>
          <w:rFonts w:ascii="Times New Roman" w:hAnsi="Times New Roman" w:cs="Times New Roman"/>
          <w:sz w:val="20"/>
          <w:szCs w:val="20"/>
        </w:rPr>
        <w:t xml:space="preserve">Dang, C., </w:t>
      </w:r>
      <w:r w:rsidR="00400A74" w:rsidRPr="00A3138A">
        <w:rPr>
          <w:rFonts w:ascii="Times New Roman" w:hAnsi="Times New Roman" w:cs="Times New Roman"/>
          <w:sz w:val="20"/>
          <w:szCs w:val="20"/>
        </w:rPr>
        <w:t>and</w:t>
      </w:r>
      <w:r w:rsidRPr="00A3138A">
        <w:rPr>
          <w:rFonts w:ascii="Times New Roman" w:hAnsi="Times New Roman" w:cs="Times New Roman"/>
          <w:sz w:val="20"/>
          <w:szCs w:val="20"/>
        </w:rPr>
        <w:t xml:space="preserve"> Li, F. (2014). Measuring firm size in empirical corporate finance.   Available from:</w:t>
      </w:r>
      <w:bookmarkEnd w:id="9"/>
      <w:r w:rsidR="00727B2E" w:rsidRPr="00A3138A">
        <w:rPr>
          <w:rFonts w:ascii="Times New Roman" w:hAnsi="Times New Roman" w:cs="Times New Roman"/>
          <w:sz w:val="20"/>
          <w:szCs w:val="20"/>
        </w:rPr>
        <w:t xml:space="preserve"> https://extranet.sioe.org/uploads/isnie2015/li_dang.pdf </w:t>
      </w:r>
      <w:r w:rsidRPr="00A3138A">
        <w:rPr>
          <w:rFonts w:ascii="Times New Roman" w:hAnsi="Times New Roman" w:cs="Times New Roman"/>
          <w:sz w:val="20"/>
          <w:szCs w:val="20"/>
        </w:rPr>
        <w:t>[Accessed 15 March 2017]</w:t>
      </w:r>
    </w:p>
    <w:p w:rsidR="00E97628" w:rsidRPr="00CB5FD4" w:rsidRDefault="00F22990" w:rsidP="00A3138A">
      <w:pPr>
        <w:pStyle w:val="EndNoteBibliography"/>
        <w:spacing w:after="0"/>
        <w:ind w:left="284" w:hanging="284"/>
        <w:rPr>
          <w:rFonts w:ascii="Times New Roman" w:hAnsi="Times New Roman" w:cs="Times New Roman"/>
          <w:sz w:val="20"/>
          <w:szCs w:val="20"/>
        </w:rPr>
      </w:pPr>
      <w:bookmarkStart w:id="10" w:name="_ENREF_8"/>
      <w:r w:rsidRPr="00CB5FD4">
        <w:rPr>
          <w:rFonts w:ascii="Times New Roman" w:hAnsi="Times New Roman" w:cs="Times New Roman"/>
          <w:sz w:val="20"/>
          <w:szCs w:val="20"/>
        </w:rPr>
        <w:t xml:space="preserve">Dawkins, C., </w:t>
      </w:r>
      <w:r w:rsidR="00400A74" w:rsidRPr="00CB5FD4">
        <w:rPr>
          <w:rFonts w:ascii="Times New Roman" w:hAnsi="Times New Roman" w:cs="Times New Roman"/>
          <w:sz w:val="20"/>
          <w:szCs w:val="20"/>
        </w:rPr>
        <w:t>and</w:t>
      </w:r>
      <w:r w:rsidR="0064375D" w:rsidRPr="00CB5FD4">
        <w:rPr>
          <w:rFonts w:ascii="Times New Roman" w:hAnsi="Times New Roman" w:cs="Times New Roman"/>
          <w:sz w:val="20"/>
          <w:szCs w:val="20"/>
        </w:rPr>
        <w:t xml:space="preserve"> Fraas, J.</w:t>
      </w:r>
      <w:r w:rsidRPr="00CB5FD4">
        <w:rPr>
          <w:rFonts w:ascii="Times New Roman" w:hAnsi="Times New Roman" w:cs="Times New Roman"/>
          <w:sz w:val="20"/>
          <w:szCs w:val="20"/>
        </w:rPr>
        <w:t xml:space="preserve">W. (2011). Coming clean: The impact of environmental performance and visibility on corporate climate change disclosure. </w:t>
      </w:r>
      <w:r w:rsidRPr="00CB5FD4">
        <w:rPr>
          <w:rFonts w:ascii="Times New Roman" w:hAnsi="Times New Roman" w:cs="Times New Roman"/>
          <w:i/>
          <w:sz w:val="20"/>
          <w:szCs w:val="20"/>
        </w:rPr>
        <w:t xml:space="preserve">Journal of business ethics, </w:t>
      </w:r>
      <w:r w:rsidRPr="00CB5FD4">
        <w:rPr>
          <w:rFonts w:ascii="Times New Roman" w:hAnsi="Times New Roman" w:cs="Times New Roman"/>
          <w:sz w:val="20"/>
          <w:szCs w:val="20"/>
        </w:rPr>
        <w:t>100</w:t>
      </w:r>
      <w:r w:rsidR="002716BF" w:rsidRPr="00CB5FD4">
        <w:rPr>
          <w:rFonts w:ascii="Times New Roman" w:hAnsi="Times New Roman" w:cs="Times New Roman"/>
          <w:sz w:val="20"/>
          <w:szCs w:val="20"/>
        </w:rPr>
        <w:t>(2):</w:t>
      </w:r>
      <w:r w:rsidRPr="00CB5FD4">
        <w:rPr>
          <w:rFonts w:ascii="Times New Roman" w:hAnsi="Times New Roman" w:cs="Times New Roman"/>
          <w:sz w:val="20"/>
          <w:szCs w:val="20"/>
        </w:rPr>
        <w:t xml:space="preserve"> 303-322.</w:t>
      </w:r>
      <w:bookmarkStart w:id="11" w:name="_ENREF_9"/>
      <w:bookmarkEnd w:id="10"/>
    </w:p>
    <w:p w:rsidR="005B4591" w:rsidRPr="00CB5FD4" w:rsidRDefault="005B4591"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lang w:eastAsia="en-AU"/>
        </w:rPr>
        <w:t xml:space="preserve">Doğan, M. (2013). Does </w:t>
      </w:r>
      <w:r w:rsidR="003A25BB" w:rsidRPr="00CB5FD4">
        <w:rPr>
          <w:rFonts w:ascii="Times New Roman" w:hAnsi="Times New Roman" w:cs="Times New Roman"/>
          <w:sz w:val="20"/>
          <w:szCs w:val="20"/>
          <w:lang w:eastAsia="en-AU"/>
        </w:rPr>
        <w:t>f</w:t>
      </w:r>
      <w:r w:rsidRPr="00CB5FD4">
        <w:rPr>
          <w:rFonts w:ascii="Times New Roman" w:hAnsi="Times New Roman" w:cs="Times New Roman"/>
          <w:sz w:val="20"/>
          <w:szCs w:val="20"/>
          <w:lang w:eastAsia="en-AU"/>
        </w:rPr>
        <w:t xml:space="preserve">irm </w:t>
      </w:r>
      <w:r w:rsidR="003A25BB" w:rsidRPr="00CB5FD4">
        <w:rPr>
          <w:rFonts w:ascii="Times New Roman" w:hAnsi="Times New Roman" w:cs="Times New Roman"/>
          <w:sz w:val="20"/>
          <w:szCs w:val="20"/>
          <w:lang w:eastAsia="en-AU"/>
        </w:rPr>
        <w:t>s</w:t>
      </w:r>
      <w:r w:rsidRPr="00CB5FD4">
        <w:rPr>
          <w:rFonts w:ascii="Times New Roman" w:hAnsi="Times New Roman" w:cs="Times New Roman"/>
          <w:sz w:val="20"/>
          <w:szCs w:val="20"/>
          <w:lang w:eastAsia="en-AU"/>
        </w:rPr>
        <w:t xml:space="preserve">ize </w:t>
      </w:r>
      <w:r w:rsidR="003A25BB" w:rsidRPr="00CB5FD4">
        <w:rPr>
          <w:rFonts w:ascii="Times New Roman" w:hAnsi="Times New Roman" w:cs="Times New Roman"/>
          <w:sz w:val="20"/>
          <w:szCs w:val="20"/>
          <w:lang w:eastAsia="en-AU"/>
        </w:rPr>
        <w:t>a</w:t>
      </w:r>
      <w:r w:rsidRPr="00CB5FD4">
        <w:rPr>
          <w:rFonts w:ascii="Times New Roman" w:hAnsi="Times New Roman" w:cs="Times New Roman"/>
          <w:sz w:val="20"/>
          <w:szCs w:val="20"/>
          <w:lang w:eastAsia="en-AU"/>
        </w:rPr>
        <w:t xml:space="preserve">ffect </w:t>
      </w:r>
      <w:r w:rsidR="003A25BB" w:rsidRPr="00CB5FD4">
        <w:rPr>
          <w:rFonts w:ascii="Times New Roman" w:hAnsi="Times New Roman" w:cs="Times New Roman"/>
          <w:sz w:val="20"/>
          <w:szCs w:val="20"/>
          <w:lang w:eastAsia="en-AU"/>
        </w:rPr>
        <w:t>t</w:t>
      </w:r>
      <w:r w:rsidRPr="00CB5FD4">
        <w:rPr>
          <w:rFonts w:ascii="Times New Roman" w:hAnsi="Times New Roman" w:cs="Times New Roman"/>
          <w:sz w:val="20"/>
          <w:szCs w:val="20"/>
          <w:lang w:eastAsia="en-AU"/>
        </w:rPr>
        <w:t xml:space="preserve">he </w:t>
      </w:r>
      <w:r w:rsidR="003A25BB" w:rsidRPr="00CB5FD4">
        <w:rPr>
          <w:rFonts w:ascii="Times New Roman" w:hAnsi="Times New Roman" w:cs="Times New Roman"/>
          <w:sz w:val="20"/>
          <w:szCs w:val="20"/>
          <w:lang w:eastAsia="en-AU"/>
        </w:rPr>
        <w:t>f</w:t>
      </w:r>
      <w:r w:rsidRPr="00CB5FD4">
        <w:rPr>
          <w:rFonts w:ascii="Times New Roman" w:hAnsi="Times New Roman" w:cs="Times New Roman"/>
          <w:sz w:val="20"/>
          <w:szCs w:val="20"/>
          <w:lang w:eastAsia="en-AU"/>
        </w:rPr>
        <w:t xml:space="preserve">irm </w:t>
      </w:r>
      <w:r w:rsidR="003A25BB"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 xml:space="preserve">rofitability? Evidence from Turkey. </w:t>
      </w:r>
      <w:r w:rsidRPr="00CB5FD4">
        <w:rPr>
          <w:rFonts w:ascii="Times New Roman" w:hAnsi="Times New Roman" w:cs="Times New Roman"/>
          <w:i/>
          <w:iCs/>
          <w:sz w:val="20"/>
          <w:szCs w:val="20"/>
          <w:lang w:eastAsia="en-AU"/>
        </w:rPr>
        <w:t xml:space="preserve">Research Journal of Finance and Accounting </w:t>
      </w:r>
      <w:r w:rsidRPr="00CB5FD4">
        <w:rPr>
          <w:rFonts w:ascii="Times New Roman" w:hAnsi="Times New Roman" w:cs="Times New Roman"/>
          <w:iCs/>
          <w:sz w:val="20"/>
          <w:szCs w:val="20"/>
          <w:lang w:eastAsia="en-AU"/>
        </w:rPr>
        <w:t>4</w:t>
      </w:r>
      <w:r w:rsidRPr="00CB5FD4">
        <w:rPr>
          <w:rFonts w:ascii="Times New Roman" w:hAnsi="Times New Roman" w:cs="Times New Roman"/>
          <w:sz w:val="20"/>
          <w:szCs w:val="20"/>
          <w:lang w:eastAsia="en-AU"/>
        </w:rPr>
        <w:t>(4)</w:t>
      </w:r>
      <w:r w:rsidR="00E51230" w:rsidRPr="00CB5FD4">
        <w:rPr>
          <w:rFonts w:ascii="Times New Roman" w:hAnsi="Times New Roman" w:cs="Times New Roman"/>
          <w:sz w:val="20"/>
          <w:szCs w:val="20"/>
          <w:lang w:eastAsia="en-AU"/>
        </w:rPr>
        <w:t>:</w:t>
      </w:r>
      <w:r w:rsidRPr="00CB5FD4">
        <w:rPr>
          <w:rFonts w:ascii="Times New Roman" w:hAnsi="Times New Roman" w:cs="Times New Roman"/>
          <w:sz w:val="20"/>
          <w:szCs w:val="20"/>
          <w:lang w:eastAsia="en-AU"/>
        </w:rPr>
        <w:t xml:space="preserve"> 53-60.</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Doonan, J., Lanoie, P., </w:t>
      </w:r>
      <w:r w:rsidR="00400A74"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Laplante, B. (2005). Determinants of environmental performance in the Canadian pulp and paper industry: An assessment from inside the industry. </w:t>
      </w:r>
      <w:r w:rsidRPr="00CB5FD4">
        <w:rPr>
          <w:rFonts w:ascii="Times New Roman" w:hAnsi="Times New Roman" w:cs="Times New Roman"/>
          <w:i/>
          <w:sz w:val="20"/>
          <w:szCs w:val="20"/>
        </w:rPr>
        <w:t xml:space="preserve">Ecological Economics, </w:t>
      </w:r>
      <w:r w:rsidRPr="00CB5FD4">
        <w:rPr>
          <w:rFonts w:ascii="Times New Roman" w:hAnsi="Times New Roman" w:cs="Times New Roman"/>
          <w:sz w:val="20"/>
          <w:szCs w:val="20"/>
        </w:rPr>
        <w:t>55(1)</w:t>
      </w:r>
      <w:r w:rsidR="002716BF" w:rsidRPr="00CB5FD4">
        <w:rPr>
          <w:rFonts w:ascii="Times New Roman" w:hAnsi="Times New Roman" w:cs="Times New Roman"/>
          <w:sz w:val="20"/>
          <w:szCs w:val="20"/>
        </w:rPr>
        <w:t>:</w:t>
      </w:r>
      <w:r w:rsidRPr="00CB5FD4">
        <w:rPr>
          <w:rFonts w:ascii="Times New Roman" w:hAnsi="Times New Roman" w:cs="Times New Roman"/>
          <w:sz w:val="20"/>
          <w:szCs w:val="20"/>
        </w:rPr>
        <w:t xml:space="preserve"> 73-84. </w:t>
      </w:r>
      <w:bookmarkEnd w:id="11"/>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12" w:name="_ENREF_10"/>
      <w:r w:rsidRPr="00CB5FD4">
        <w:rPr>
          <w:rFonts w:ascii="Times New Roman" w:hAnsi="Times New Roman" w:cs="Times New Roman"/>
          <w:sz w:val="20"/>
          <w:szCs w:val="20"/>
        </w:rPr>
        <w:t xml:space="preserve">Dowling, J., </w:t>
      </w:r>
      <w:r w:rsidR="00400A74"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Pfeffer, J. (1975). Organizational </w:t>
      </w:r>
      <w:r w:rsidR="003A25BB" w:rsidRPr="00CB5FD4">
        <w:rPr>
          <w:rFonts w:ascii="Times New Roman" w:hAnsi="Times New Roman" w:cs="Times New Roman"/>
          <w:sz w:val="20"/>
          <w:szCs w:val="20"/>
        </w:rPr>
        <w:t>l</w:t>
      </w:r>
      <w:r w:rsidRPr="00CB5FD4">
        <w:rPr>
          <w:rFonts w:ascii="Times New Roman" w:hAnsi="Times New Roman" w:cs="Times New Roman"/>
          <w:sz w:val="20"/>
          <w:szCs w:val="20"/>
        </w:rPr>
        <w:t xml:space="preserve">egitimacy: Social </w:t>
      </w:r>
      <w:r w:rsidR="003A25BB" w:rsidRPr="00CB5FD4">
        <w:rPr>
          <w:rFonts w:ascii="Times New Roman" w:hAnsi="Times New Roman" w:cs="Times New Roman"/>
          <w:sz w:val="20"/>
          <w:szCs w:val="20"/>
        </w:rPr>
        <w:t>v</w:t>
      </w:r>
      <w:r w:rsidRPr="00CB5FD4">
        <w:rPr>
          <w:rFonts w:ascii="Times New Roman" w:hAnsi="Times New Roman" w:cs="Times New Roman"/>
          <w:sz w:val="20"/>
          <w:szCs w:val="20"/>
        </w:rPr>
        <w:t xml:space="preserve">alues and </w:t>
      </w:r>
      <w:r w:rsidR="003A25BB" w:rsidRPr="00CB5FD4">
        <w:rPr>
          <w:rFonts w:ascii="Times New Roman" w:hAnsi="Times New Roman" w:cs="Times New Roman"/>
          <w:sz w:val="20"/>
          <w:szCs w:val="20"/>
        </w:rPr>
        <w:t>o</w:t>
      </w:r>
      <w:r w:rsidRPr="00CB5FD4">
        <w:rPr>
          <w:rFonts w:ascii="Times New Roman" w:hAnsi="Times New Roman" w:cs="Times New Roman"/>
          <w:sz w:val="20"/>
          <w:szCs w:val="20"/>
        </w:rPr>
        <w:t xml:space="preserve">rganizational </w:t>
      </w:r>
      <w:r w:rsidR="003A25BB" w:rsidRPr="00CB5FD4">
        <w:rPr>
          <w:rFonts w:ascii="Times New Roman" w:hAnsi="Times New Roman" w:cs="Times New Roman"/>
          <w:sz w:val="20"/>
          <w:szCs w:val="20"/>
        </w:rPr>
        <w:t>b</w:t>
      </w:r>
      <w:r w:rsidRPr="00CB5FD4">
        <w:rPr>
          <w:rFonts w:ascii="Times New Roman" w:hAnsi="Times New Roman" w:cs="Times New Roman"/>
          <w:sz w:val="20"/>
          <w:szCs w:val="20"/>
        </w:rPr>
        <w:t xml:space="preserve">ehavior. </w:t>
      </w:r>
      <w:r w:rsidRPr="00CB5FD4">
        <w:rPr>
          <w:rFonts w:ascii="Times New Roman" w:hAnsi="Times New Roman" w:cs="Times New Roman"/>
          <w:i/>
          <w:sz w:val="20"/>
          <w:szCs w:val="20"/>
        </w:rPr>
        <w:t xml:space="preserve">The Pacific Sociological Review, </w:t>
      </w:r>
      <w:r w:rsidRPr="00CB5FD4">
        <w:rPr>
          <w:rFonts w:ascii="Times New Roman" w:hAnsi="Times New Roman" w:cs="Times New Roman"/>
          <w:sz w:val="20"/>
          <w:szCs w:val="20"/>
        </w:rPr>
        <w:t>18</w:t>
      </w:r>
      <w:r w:rsidR="0016065A" w:rsidRPr="00CB5FD4">
        <w:rPr>
          <w:rFonts w:ascii="Times New Roman" w:hAnsi="Times New Roman" w:cs="Times New Roman"/>
          <w:sz w:val="20"/>
          <w:szCs w:val="20"/>
        </w:rPr>
        <w:t>(1):</w:t>
      </w:r>
      <w:r w:rsidRPr="00CB5FD4">
        <w:rPr>
          <w:rFonts w:ascii="Times New Roman" w:hAnsi="Times New Roman" w:cs="Times New Roman"/>
          <w:sz w:val="20"/>
          <w:szCs w:val="20"/>
        </w:rPr>
        <w:t xml:space="preserve"> 122-136. </w:t>
      </w:r>
      <w:bookmarkEnd w:id="12"/>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13" w:name="_ENREF_11"/>
      <w:r w:rsidRPr="00CB5FD4">
        <w:rPr>
          <w:rFonts w:ascii="Times New Roman" w:hAnsi="Times New Roman" w:cs="Times New Roman"/>
          <w:sz w:val="20"/>
          <w:szCs w:val="20"/>
        </w:rPr>
        <w:t xml:space="preserve">Ezeoha, A.E. (2008). Firm size and corporate financial-leverage choice in a developing economy: Evidence from Nigeria. </w:t>
      </w:r>
      <w:r w:rsidRPr="00CB5FD4">
        <w:rPr>
          <w:rFonts w:ascii="Times New Roman" w:hAnsi="Times New Roman" w:cs="Times New Roman"/>
          <w:i/>
          <w:sz w:val="20"/>
          <w:szCs w:val="20"/>
        </w:rPr>
        <w:t>The Journal of Risk Finance,</w:t>
      </w:r>
      <w:r w:rsidRPr="00CB5FD4">
        <w:rPr>
          <w:rFonts w:ascii="Times New Roman" w:hAnsi="Times New Roman" w:cs="Times New Roman"/>
          <w:sz w:val="20"/>
          <w:szCs w:val="20"/>
        </w:rPr>
        <w:t xml:space="preserve"> 9</w:t>
      </w:r>
      <w:r w:rsidR="0016065A" w:rsidRPr="00CB5FD4">
        <w:rPr>
          <w:rFonts w:ascii="Times New Roman" w:hAnsi="Times New Roman" w:cs="Times New Roman"/>
          <w:sz w:val="20"/>
          <w:szCs w:val="20"/>
        </w:rPr>
        <w:t>(4):</w:t>
      </w:r>
      <w:r w:rsidRPr="00CB5FD4">
        <w:rPr>
          <w:rFonts w:ascii="Times New Roman" w:hAnsi="Times New Roman" w:cs="Times New Roman"/>
          <w:sz w:val="20"/>
          <w:szCs w:val="20"/>
        </w:rPr>
        <w:t xml:space="preserve"> 351-364. </w:t>
      </w:r>
      <w:bookmarkEnd w:id="13"/>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14" w:name="_ENREF_12"/>
      <w:r w:rsidRPr="00CB5FD4">
        <w:rPr>
          <w:rFonts w:ascii="Times New Roman" w:hAnsi="Times New Roman" w:cs="Times New Roman"/>
          <w:sz w:val="20"/>
          <w:szCs w:val="20"/>
        </w:rPr>
        <w:t xml:space="preserve">Fallan, E. (2016). Environmental </w:t>
      </w:r>
      <w:r w:rsidR="003A25BB" w:rsidRPr="00CB5FD4">
        <w:rPr>
          <w:rFonts w:ascii="Times New Roman" w:hAnsi="Times New Roman" w:cs="Times New Roman"/>
          <w:sz w:val="20"/>
          <w:szCs w:val="20"/>
        </w:rPr>
        <w:t>r</w:t>
      </w:r>
      <w:r w:rsidRPr="00CB5FD4">
        <w:rPr>
          <w:rFonts w:ascii="Times New Roman" w:hAnsi="Times New Roman" w:cs="Times New Roman"/>
          <w:sz w:val="20"/>
          <w:szCs w:val="20"/>
        </w:rPr>
        <w:t xml:space="preserve">eporting </w:t>
      </w:r>
      <w:r w:rsidR="003A25BB" w:rsidRPr="00CB5FD4">
        <w:rPr>
          <w:rFonts w:ascii="Times New Roman" w:hAnsi="Times New Roman" w:cs="Times New Roman"/>
          <w:sz w:val="20"/>
          <w:szCs w:val="20"/>
        </w:rPr>
        <w:t>r</w:t>
      </w:r>
      <w:r w:rsidRPr="00CB5FD4">
        <w:rPr>
          <w:rFonts w:ascii="Times New Roman" w:hAnsi="Times New Roman" w:cs="Times New Roman"/>
          <w:sz w:val="20"/>
          <w:szCs w:val="20"/>
        </w:rPr>
        <w:t xml:space="preserve">egulations and </w:t>
      </w:r>
      <w:r w:rsidR="003A25BB" w:rsidRPr="00CB5FD4">
        <w:rPr>
          <w:rFonts w:ascii="Times New Roman" w:hAnsi="Times New Roman" w:cs="Times New Roman"/>
          <w:sz w:val="20"/>
          <w:szCs w:val="20"/>
        </w:rPr>
        <w:t>r</w:t>
      </w:r>
      <w:r w:rsidRPr="00CB5FD4">
        <w:rPr>
          <w:rFonts w:ascii="Times New Roman" w:hAnsi="Times New Roman" w:cs="Times New Roman"/>
          <w:sz w:val="20"/>
          <w:szCs w:val="20"/>
        </w:rPr>
        <w:t xml:space="preserve">eporting </w:t>
      </w:r>
      <w:r w:rsidR="003A25BB" w:rsidRPr="00CB5FD4">
        <w:rPr>
          <w:rFonts w:ascii="Times New Roman" w:hAnsi="Times New Roman" w:cs="Times New Roman"/>
          <w:sz w:val="20"/>
          <w:szCs w:val="20"/>
        </w:rPr>
        <w:t>p</w:t>
      </w:r>
      <w:r w:rsidRPr="00CB5FD4">
        <w:rPr>
          <w:rFonts w:ascii="Times New Roman" w:hAnsi="Times New Roman" w:cs="Times New Roman"/>
          <w:sz w:val="20"/>
          <w:szCs w:val="20"/>
        </w:rPr>
        <w:t xml:space="preserve">ractices. </w:t>
      </w:r>
      <w:r w:rsidRPr="00CB5FD4">
        <w:rPr>
          <w:rFonts w:ascii="Times New Roman" w:hAnsi="Times New Roman" w:cs="Times New Roman"/>
          <w:i/>
          <w:sz w:val="20"/>
          <w:szCs w:val="20"/>
        </w:rPr>
        <w:t xml:space="preserve">Social and Environmental Accountability Journal, </w:t>
      </w:r>
      <w:r w:rsidRPr="00CB5FD4">
        <w:rPr>
          <w:rFonts w:ascii="Times New Roman" w:hAnsi="Times New Roman" w:cs="Times New Roman"/>
          <w:sz w:val="20"/>
          <w:szCs w:val="20"/>
        </w:rPr>
        <w:t>36</w:t>
      </w:r>
      <w:r w:rsidR="0016065A" w:rsidRPr="00CB5FD4">
        <w:rPr>
          <w:rFonts w:ascii="Times New Roman" w:hAnsi="Times New Roman" w:cs="Times New Roman"/>
          <w:sz w:val="20"/>
          <w:szCs w:val="20"/>
        </w:rPr>
        <w:t>(1):</w:t>
      </w:r>
      <w:r w:rsidRPr="00CB5FD4">
        <w:rPr>
          <w:rFonts w:ascii="Times New Roman" w:hAnsi="Times New Roman" w:cs="Times New Roman"/>
          <w:sz w:val="20"/>
          <w:szCs w:val="20"/>
        </w:rPr>
        <w:t xml:space="preserve"> 34-55. </w:t>
      </w:r>
      <w:bookmarkEnd w:id="14"/>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15" w:name="_ENREF_13"/>
      <w:r w:rsidRPr="00CB5FD4">
        <w:rPr>
          <w:rFonts w:ascii="Times New Roman" w:hAnsi="Times New Roman" w:cs="Times New Roman"/>
          <w:sz w:val="20"/>
          <w:szCs w:val="20"/>
        </w:rPr>
        <w:t xml:space="preserve">Freedman, M., </w:t>
      </w:r>
      <w:r w:rsidR="0064375D" w:rsidRPr="00CB5FD4">
        <w:rPr>
          <w:rFonts w:ascii="Times New Roman" w:hAnsi="Times New Roman" w:cs="Times New Roman"/>
          <w:sz w:val="20"/>
          <w:szCs w:val="20"/>
        </w:rPr>
        <w:t>and Park, J.</w:t>
      </w:r>
      <w:r w:rsidRPr="00CB5FD4">
        <w:rPr>
          <w:rFonts w:ascii="Times New Roman" w:hAnsi="Times New Roman" w:cs="Times New Roman"/>
          <w:sz w:val="20"/>
          <w:szCs w:val="20"/>
        </w:rPr>
        <w:t xml:space="preserve">D. (2014). Mandated </w:t>
      </w:r>
      <w:r w:rsidR="003A25BB" w:rsidRPr="00CB5FD4">
        <w:rPr>
          <w:rFonts w:ascii="Times New Roman" w:hAnsi="Times New Roman" w:cs="Times New Roman"/>
          <w:sz w:val="20"/>
          <w:szCs w:val="20"/>
        </w:rPr>
        <w:t>c</w:t>
      </w:r>
      <w:r w:rsidRPr="00CB5FD4">
        <w:rPr>
          <w:rFonts w:ascii="Times New Roman" w:hAnsi="Times New Roman" w:cs="Times New Roman"/>
          <w:sz w:val="20"/>
          <w:szCs w:val="20"/>
        </w:rPr>
        <w:t xml:space="preserve">limate </w:t>
      </w:r>
      <w:r w:rsidR="003A25BB" w:rsidRPr="00CB5FD4">
        <w:rPr>
          <w:rFonts w:ascii="Times New Roman" w:hAnsi="Times New Roman" w:cs="Times New Roman"/>
          <w:sz w:val="20"/>
          <w:szCs w:val="20"/>
        </w:rPr>
        <w:t>c</w:t>
      </w:r>
      <w:r w:rsidRPr="00CB5FD4">
        <w:rPr>
          <w:rFonts w:ascii="Times New Roman" w:hAnsi="Times New Roman" w:cs="Times New Roman"/>
          <w:sz w:val="20"/>
          <w:szCs w:val="20"/>
        </w:rPr>
        <w:t xml:space="preserve">hange </w:t>
      </w:r>
      <w:r w:rsidR="003A25BB" w:rsidRPr="00CB5FD4">
        <w:rPr>
          <w:rFonts w:ascii="Times New Roman" w:hAnsi="Times New Roman" w:cs="Times New Roman"/>
          <w:sz w:val="20"/>
          <w:szCs w:val="20"/>
        </w:rPr>
        <w:t>d</w:t>
      </w:r>
      <w:r w:rsidRPr="00CB5FD4">
        <w:rPr>
          <w:rFonts w:ascii="Times New Roman" w:hAnsi="Times New Roman" w:cs="Times New Roman"/>
          <w:sz w:val="20"/>
          <w:szCs w:val="20"/>
        </w:rPr>
        <w:t xml:space="preserve">isclosures by </w:t>
      </w:r>
      <w:r w:rsidR="003A25BB" w:rsidRPr="00CB5FD4">
        <w:rPr>
          <w:rFonts w:ascii="Times New Roman" w:hAnsi="Times New Roman" w:cs="Times New Roman"/>
          <w:sz w:val="20"/>
          <w:szCs w:val="20"/>
        </w:rPr>
        <w:t>f</w:t>
      </w:r>
      <w:r w:rsidRPr="00CB5FD4">
        <w:rPr>
          <w:rFonts w:ascii="Times New Roman" w:hAnsi="Times New Roman" w:cs="Times New Roman"/>
          <w:sz w:val="20"/>
          <w:szCs w:val="20"/>
        </w:rPr>
        <w:t xml:space="preserve">irms </w:t>
      </w:r>
      <w:r w:rsidR="003A25BB" w:rsidRPr="00CB5FD4">
        <w:rPr>
          <w:rFonts w:ascii="Times New Roman" w:hAnsi="Times New Roman" w:cs="Times New Roman"/>
          <w:sz w:val="20"/>
          <w:szCs w:val="20"/>
        </w:rPr>
        <w:t>p</w:t>
      </w:r>
      <w:r w:rsidRPr="00CB5FD4">
        <w:rPr>
          <w:rFonts w:ascii="Times New Roman" w:hAnsi="Times New Roman" w:cs="Times New Roman"/>
          <w:sz w:val="20"/>
          <w:szCs w:val="20"/>
        </w:rPr>
        <w:t xml:space="preserve">articipating in the </w:t>
      </w:r>
      <w:r w:rsidR="003A25BB" w:rsidRPr="00CB5FD4">
        <w:rPr>
          <w:rFonts w:ascii="Times New Roman" w:hAnsi="Times New Roman" w:cs="Times New Roman"/>
          <w:sz w:val="20"/>
          <w:szCs w:val="20"/>
        </w:rPr>
        <w:t>r</w:t>
      </w:r>
      <w:r w:rsidRPr="00CB5FD4">
        <w:rPr>
          <w:rFonts w:ascii="Times New Roman" w:hAnsi="Times New Roman" w:cs="Times New Roman"/>
          <w:sz w:val="20"/>
          <w:szCs w:val="20"/>
        </w:rPr>
        <w:t xml:space="preserve">egional </w:t>
      </w:r>
      <w:r w:rsidR="003A25BB" w:rsidRPr="00CB5FD4">
        <w:rPr>
          <w:rFonts w:ascii="Times New Roman" w:hAnsi="Times New Roman" w:cs="Times New Roman"/>
          <w:sz w:val="20"/>
          <w:szCs w:val="20"/>
        </w:rPr>
        <w:t>g</w:t>
      </w:r>
      <w:r w:rsidRPr="00CB5FD4">
        <w:rPr>
          <w:rFonts w:ascii="Times New Roman" w:hAnsi="Times New Roman" w:cs="Times New Roman"/>
          <w:sz w:val="20"/>
          <w:szCs w:val="20"/>
        </w:rPr>
        <w:t xml:space="preserve">reenhouse </w:t>
      </w:r>
      <w:r w:rsidR="003A25BB" w:rsidRPr="00CB5FD4">
        <w:rPr>
          <w:rFonts w:ascii="Times New Roman" w:hAnsi="Times New Roman" w:cs="Times New Roman"/>
          <w:sz w:val="20"/>
          <w:szCs w:val="20"/>
        </w:rPr>
        <w:t>g</w:t>
      </w:r>
      <w:r w:rsidRPr="00CB5FD4">
        <w:rPr>
          <w:rFonts w:ascii="Times New Roman" w:hAnsi="Times New Roman" w:cs="Times New Roman"/>
          <w:sz w:val="20"/>
          <w:szCs w:val="20"/>
        </w:rPr>
        <w:t xml:space="preserve">as </w:t>
      </w:r>
      <w:r w:rsidR="003A25BB" w:rsidRPr="00CB5FD4">
        <w:rPr>
          <w:rFonts w:ascii="Times New Roman" w:hAnsi="Times New Roman" w:cs="Times New Roman"/>
          <w:sz w:val="20"/>
          <w:szCs w:val="20"/>
        </w:rPr>
        <w:t>i</w:t>
      </w:r>
      <w:r w:rsidRPr="00CB5FD4">
        <w:rPr>
          <w:rFonts w:ascii="Times New Roman" w:hAnsi="Times New Roman" w:cs="Times New Roman"/>
          <w:sz w:val="20"/>
          <w:szCs w:val="20"/>
        </w:rPr>
        <w:t xml:space="preserve">nitiative. </w:t>
      </w:r>
      <w:r w:rsidRPr="00CB5FD4">
        <w:rPr>
          <w:rFonts w:ascii="Times New Roman" w:hAnsi="Times New Roman" w:cs="Times New Roman"/>
          <w:i/>
          <w:sz w:val="20"/>
          <w:szCs w:val="20"/>
        </w:rPr>
        <w:t xml:space="preserve">Social and Environmental Accountability Journal, </w:t>
      </w:r>
      <w:r w:rsidRPr="00CB5FD4">
        <w:rPr>
          <w:rFonts w:ascii="Times New Roman" w:hAnsi="Times New Roman" w:cs="Times New Roman"/>
          <w:sz w:val="20"/>
          <w:szCs w:val="20"/>
        </w:rPr>
        <w:t>34</w:t>
      </w:r>
      <w:r w:rsidR="0016065A" w:rsidRPr="00CB5FD4">
        <w:rPr>
          <w:rFonts w:ascii="Times New Roman" w:hAnsi="Times New Roman" w:cs="Times New Roman"/>
          <w:sz w:val="20"/>
          <w:szCs w:val="20"/>
        </w:rPr>
        <w:t>(1):</w:t>
      </w:r>
      <w:r w:rsidRPr="00CB5FD4">
        <w:rPr>
          <w:rFonts w:ascii="Times New Roman" w:hAnsi="Times New Roman" w:cs="Times New Roman"/>
          <w:sz w:val="20"/>
          <w:szCs w:val="20"/>
        </w:rPr>
        <w:t xml:space="preserve"> 29-44. </w:t>
      </w:r>
      <w:bookmarkEnd w:id="15"/>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16" w:name="_ENREF_14"/>
      <w:r w:rsidRPr="00CB5FD4">
        <w:rPr>
          <w:rFonts w:ascii="Times New Roman" w:hAnsi="Times New Roman" w:cs="Times New Roman"/>
          <w:sz w:val="20"/>
          <w:szCs w:val="20"/>
        </w:rPr>
        <w:t xml:space="preserve">Freeman, R.E. (1984). </w:t>
      </w:r>
      <w:r w:rsidRPr="00CB5FD4">
        <w:rPr>
          <w:rFonts w:ascii="Times New Roman" w:hAnsi="Times New Roman" w:cs="Times New Roman"/>
          <w:iCs/>
          <w:sz w:val="20"/>
          <w:szCs w:val="20"/>
        </w:rPr>
        <w:t xml:space="preserve">Strategic </w:t>
      </w:r>
      <w:r w:rsidR="003A25BB" w:rsidRPr="00CB5FD4">
        <w:rPr>
          <w:rFonts w:ascii="Times New Roman" w:hAnsi="Times New Roman" w:cs="Times New Roman"/>
          <w:iCs/>
          <w:sz w:val="20"/>
          <w:szCs w:val="20"/>
        </w:rPr>
        <w:t>m</w:t>
      </w:r>
      <w:r w:rsidRPr="00CB5FD4">
        <w:rPr>
          <w:rFonts w:ascii="Times New Roman" w:hAnsi="Times New Roman" w:cs="Times New Roman"/>
          <w:iCs/>
          <w:sz w:val="20"/>
          <w:szCs w:val="20"/>
        </w:rPr>
        <w:t>anagement: A stakeholder approach</w:t>
      </w:r>
      <w:r w:rsidRPr="00CB5FD4">
        <w:rPr>
          <w:rFonts w:ascii="Times New Roman" w:hAnsi="Times New Roman" w:cs="Times New Roman"/>
          <w:sz w:val="20"/>
          <w:szCs w:val="20"/>
        </w:rPr>
        <w:t>. Boston: Pitman.</w:t>
      </w:r>
      <w:bookmarkEnd w:id="16"/>
    </w:p>
    <w:p w:rsidR="00E97628" w:rsidRPr="00CB5FD4" w:rsidRDefault="00F22990" w:rsidP="00A3138A">
      <w:pPr>
        <w:pStyle w:val="EndNoteBibliography"/>
        <w:spacing w:after="0"/>
        <w:ind w:left="284" w:hanging="284"/>
        <w:rPr>
          <w:rFonts w:ascii="Times New Roman" w:hAnsi="Times New Roman" w:cs="Times New Roman"/>
          <w:sz w:val="20"/>
          <w:szCs w:val="20"/>
        </w:rPr>
      </w:pPr>
      <w:bookmarkStart w:id="17" w:name="_ENREF_15"/>
      <w:r w:rsidRPr="00CB5FD4">
        <w:rPr>
          <w:rFonts w:ascii="Times New Roman" w:hAnsi="Times New Roman" w:cs="Times New Roman"/>
          <w:sz w:val="20"/>
          <w:szCs w:val="20"/>
        </w:rPr>
        <w:lastRenderedPageBreak/>
        <w:t xml:space="preserve">Ge, M., Friedrich, J., </w:t>
      </w:r>
      <w:r w:rsidR="00E51230" w:rsidRPr="00CB5FD4">
        <w:rPr>
          <w:rFonts w:ascii="Times New Roman" w:hAnsi="Times New Roman" w:cs="Times New Roman"/>
          <w:sz w:val="20"/>
          <w:szCs w:val="20"/>
        </w:rPr>
        <w:t>and</w:t>
      </w:r>
      <w:r w:rsidRPr="00CB5FD4">
        <w:rPr>
          <w:rFonts w:ascii="Times New Roman" w:hAnsi="Times New Roman" w:cs="Times New Roman"/>
          <w:sz w:val="20"/>
          <w:szCs w:val="20"/>
        </w:rPr>
        <w:t xml:space="preserve"> Damassa, T. (2014). 6 </w:t>
      </w:r>
      <w:r w:rsidR="003A25BB" w:rsidRPr="00CB5FD4">
        <w:rPr>
          <w:rFonts w:ascii="Times New Roman" w:hAnsi="Times New Roman" w:cs="Times New Roman"/>
          <w:sz w:val="20"/>
          <w:szCs w:val="20"/>
        </w:rPr>
        <w:t>g</w:t>
      </w:r>
      <w:r w:rsidRPr="00CB5FD4">
        <w:rPr>
          <w:rFonts w:ascii="Times New Roman" w:hAnsi="Times New Roman" w:cs="Times New Roman"/>
          <w:sz w:val="20"/>
          <w:szCs w:val="20"/>
        </w:rPr>
        <w:t xml:space="preserve">raphs </w:t>
      </w:r>
      <w:r w:rsidR="003A25BB" w:rsidRPr="00CB5FD4">
        <w:rPr>
          <w:rFonts w:ascii="Times New Roman" w:hAnsi="Times New Roman" w:cs="Times New Roman"/>
          <w:sz w:val="20"/>
          <w:szCs w:val="20"/>
        </w:rPr>
        <w:t>e</w:t>
      </w:r>
      <w:r w:rsidRPr="00CB5FD4">
        <w:rPr>
          <w:rFonts w:ascii="Times New Roman" w:hAnsi="Times New Roman" w:cs="Times New Roman"/>
          <w:sz w:val="20"/>
          <w:szCs w:val="20"/>
        </w:rPr>
        <w:t xml:space="preserve">xplain the </w:t>
      </w:r>
      <w:r w:rsidR="003A25BB" w:rsidRPr="00CB5FD4">
        <w:rPr>
          <w:rFonts w:ascii="Times New Roman" w:hAnsi="Times New Roman" w:cs="Times New Roman"/>
          <w:sz w:val="20"/>
          <w:szCs w:val="20"/>
        </w:rPr>
        <w:t>w</w:t>
      </w:r>
      <w:r w:rsidRPr="00CB5FD4">
        <w:rPr>
          <w:rFonts w:ascii="Times New Roman" w:hAnsi="Times New Roman" w:cs="Times New Roman"/>
          <w:sz w:val="20"/>
          <w:szCs w:val="20"/>
        </w:rPr>
        <w:t xml:space="preserve">orld’s </w:t>
      </w:r>
      <w:r w:rsidR="003A25BB" w:rsidRPr="00CB5FD4">
        <w:rPr>
          <w:rFonts w:ascii="Times New Roman" w:hAnsi="Times New Roman" w:cs="Times New Roman"/>
          <w:sz w:val="20"/>
          <w:szCs w:val="20"/>
        </w:rPr>
        <w:t>t</w:t>
      </w:r>
      <w:r w:rsidRPr="00CB5FD4">
        <w:rPr>
          <w:rFonts w:ascii="Times New Roman" w:hAnsi="Times New Roman" w:cs="Times New Roman"/>
          <w:sz w:val="20"/>
          <w:szCs w:val="20"/>
        </w:rPr>
        <w:t xml:space="preserve">op 10 </w:t>
      </w:r>
      <w:r w:rsidR="003A25BB" w:rsidRPr="00CB5FD4">
        <w:rPr>
          <w:rFonts w:ascii="Times New Roman" w:hAnsi="Times New Roman" w:cs="Times New Roman"/>
          <w:sz w:val="20"/>
          <w:szCs w:val="20"/>
        </w:rPr>
        <w:t>e</w:t>
      </w:r>
      <w:r w:rsidRPr="00CB5FD4">
        <w:rPr>
          <w:rFonts w:ascii="Times New Roman" w:hAnsi="Times New Roman" w:cs="Times New Roman"/>
          <w:sz w:val="20"/>
          <w:szCs w:val="20"/>
        </w:rPr>
        <w:t xml:space="preserve">mitters.   </w:t>
      </w:r>
      <w:r w:rsidR="00727B2E" w:rsidRPr="00CB5FD4">
        <w:rPr>
          <w:rFonts w:ascii="Times New Roman" w:hAnsi="Times New Roman" w:cs="Times New Roman"/>
          <w:sz w:val="20"/>
          <w:szCs w:val="20"/>
        </w:rPr>
        <w:t>Available from:</w:t>
      </w:r>
      <w:r w:rsidRPr="00CB5FD4">
        <w:rPr>
          <w:rFonts w:ascii="Times New Roman" w:hAnsi="Times New Roman" w:cs="Times New Roman"/>
          <w:sz w:val="20"/>
          <w:szCs w:val="20"/>
        </w:rPr>
        <w:t xml:space="preserve"> </w:t>
      </w:r>
      <w:r w:rsidR="00727B2E" w:rsidRPr="00CB5FD4">
        <w:rPr>
          <w:rFonts w:ascii="Times New Roman" w:hAnsi="Times New Roman" w:cs="Times New Roman"/>
          <w:sz w:val="20"/>
          <w:szCs w:val="20"/>
        </w:rPr>
        <w:t>https://wri.org/about/mission-goals</w:t>
      </w:r>
      <w:bookmarkEnd w:id="17"/>
      <w:r w:rsidR="00727B2E" w:rsidRPr="00CB5FD4">
        <w:rPr>
          <w:rFonts w:ascii="Times New Roman" w:hAnsi="Times New Roman" w:cs="Times New Roman"/>
          <w:sz w:val="20"/>
          <w:szCs w:val="20"/>
        </w:rPr>
        <w:t xml:space="preserve"> [Accessed 16 March 2017</w:t>
      </w:r>
      <w:r w:rsidR="00E97628" w:rsidRPr="00CB5FD4">
        <w:rPr>
          <w:rFonts w:ascii="Times New Roman" w:hAnsi="Times New Roman" w:cs="Times New Roman"/>
          <w:sz w:val="20"/>
          <w:szCs w:val="20"/>
        </w:rPr>
        <w:t>.</w:t>
      </w:r>
      <w:bookmarkStart w:id="18" w:name="_ENREF_16"/>
    </w:p>
    <w:p w:rsidR="000A299D" w:rsidRPr="00CB5FD4" w:rsidRDefault="000A299D"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lang w:eastAsia="en-AU"/>
        </w:rPr>
        <w:t xml:space="preserve">Genoveva. (2016). Factors </w:t>
      </w:r>
      <w:r w:rsidR="003A25BB" w:rsidRPr="00CB5FD4">
        <w:rPr>
          <w:rFonts w:ascii="Times New Roman" w:hAnsi="Times New Roman" w:cs="Times New Roman"/>
          <w:sz w:val="20"/>
          <w:szCs w:val="20"/>
          <w:lang w:eastAsia="en-AU"/>
        </w:rPr>
        <w:t>a</w:t>
      </w:r>
      <w:r w:rsidRPr="00CB5FD4">
        <w:rPr>
          <w:rFonts w:ascii="Times New Roman" w:hAnsi="Times New Roman" w:cs="Times New Roman"/>
          <w:sz w:val="20"/>
          <w:szCs w:val="20"/>
          <w:lang w:eastAsia="en-AU"/>
        </w:rPr>
        <w:t xml:space="preserve">ffecting </w:t>
      </w:r>
      <w:r w:rsidR="003A25BB" w:rsidRPr="00CB5FD4">
        <w:rPr>
          <w:rFonts w:ascii="Times New Roman" w:hAnsi="Times New Roman" w:cs="Times New Roman"/>
          <w:sz w:val="20"/>
          <w:szCs w:val="20"/>
          <w:lang w:eastAsia="en-AU"/>
        </w:rPr>
        <w:t>c</w:t>
      </w:r>
      <w:r w:rsidRPr="00CB5FD4">
        <w:rPr>
          <w:rFonts w:ascii="Times New Roman" w:hAnsi="Times New Roman" w:cs="Times New Roman"/>
          <w:sz w:val="20"/>
          <w:szCs w:val="20"/>
          <w:lang w:eastAsia="en-AU"/>
        </w:rPr>
        <w:t xml:space="preserve">onsumers' </w:t>
      </w:r>
      <w:r w:rsidR="003A25BB" w:rsidRPr="00CB5FD4">
        <w:rPr>
          <w:rFonts w:ascii="Times New Roman" w:hAnsi="Times New Roman" w:cs="Times New Roman"/>
          <w:sz w:val="20"/>
          <w:szCs w:val="20"/>
          <w:lang w:eastAsia="en-AU"/>
        </w:rPr>
        <w:t>g</w:t>
      </w:r>
      <w:r w:rsidRPr="00CB5FD4">
        <w:rPr>
          <w:rFonts w:ascii="Times New Roman" w:hAnsi="Times New Roman" w:cs="Times New Roman"/>
          <w:sz w:val="20"/>
          <w:szCs w:val="20"/>
          <w:lang w:eastAsia="en-AU"/>
        </w:rPr>
        <w:t xml:space="preserve">reen </w:t>
      </w:r>
      <w:r w:rsidR="003A25BB"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 xml:space="preserve">urchase </w:t>
      </w:r>
      <w:r w:rsidR="003A25BB" w:rsidRPr="00CB5FD4">
        <w:rPr>
          <w:rFonts w:ascii="Times New Roman" w:hAnsi="Times New Roman" w:cs="Times New Roman"/>
          <w:sz w:val="20"/>
          <w:szCs w:val="20"/>
          <w:lang w:eastAsia="en-AU"/>
        </w:rPr>
        <w:t>b</w:t>
      </w:r>
      <w:r w:rsidRPr="00CB5FD4">
        <w:rPr>
          <w:rFonts w:ascii="Times New Roman" w:hAnsi="Times New Roman" w:cs="Times New Roman"/>
          <w:sz w:val="20"/>
          <w:szCs w:val="20"/>
          <w:lang w:eastAsia="en-AU"/>
        </w:rPr>
        <w:t xml:space="preserve">ehavior (An  </w:t>
      </w:r>
      <w:r w:rsidR="003A25BB" w:rsidRPr="00CB5FD4">
        <w:rPr>
          <w:rFonts w:ascii="Times New Roman" w:hAnsi="Times New Roman" w:cs="Times New Roman"/>
          <w:sz w:val="20"/>
          <w:szCs w:val="20"/>
          <w:lang w:eastAsia="en-AU"/>
        </w:rPr>
        <w:t>e</w:t>
      </w:r>
      <w:r w:rsidRPr="00CB5FD4">
        <w:rPr>
          <w:rFonts w:ascii="Times New Roman" w:hAnsi="Times New Roman" w:cs="Times New Roman"/>
          <w:sz w:val="20"/>
          <w:szCs w:val="20"/>
          <w:lang w:eastAsia="en-AU"/>
        </w:rPr>
        <w:t xml:space="preserve">mpirical </w:t>
      </w:r>
      <w:r w:rsidR="003A25BB" w:rsidRPr="00CB5FD4">
        <w:rPr>
          <w:rFonts w:ascii="Times New Roman" w:hAnsi="Times New Roman" w:cs="Times New Roman"/>
          <w:sz w:val="20"/>
          <w:szCs w:val="20"/>
          <w:lang w:eastAsia="en-AU"/>
        </w:rPr>
        <w:t>s</w:t>
      </w:r>
      <w:r w:rsidRPr="00CB5FD4">
        <w:rPr>
          <w:rFonts w:ascii="Times New Roman" w:hAnsi="Times New Roman" w:cs="Times New Roman"/>
          <w:sz w:val="20"/>
          <w:szCs w:val="20"/>
          <w:lang w:eastAsia="en-AU"/>
        </w:rPr>
        <w:t xml:space="preserve">tudy of Indonesia </w:t>
      </w:r>
      <w:r w:rsidR="003A25BB"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 xml:space="preserve">ay </w:t>
      </w:r>
      <w:r w:rsidR="003A25BB"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 xml:space="preserve">lastic </w:t>
      </w:r>
      <w:r w:rsidR="003A25BB"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 xml:space="preserve">olicy). </w:t>
      </w:r>
      <w:r w:rsidRPr="00CB5FD4">
        <w:rPr>
          <w:rFonts w:ascii="Times New Roman" w:hAnsi="Times New Roman" w:cs="Times New Roman"/>
          <w:i/>
          <w:iCs/>
          <w:sz w:val="20"/>
          <w:szCs w:val="20"/>
          <w:lang w:eastAsia="en-AU"/>
        </w:rPr>
        <w:t xml:space="preserve">International Journal of Business, Economics and Law, </w:t>
      </w:r>
      <w:r w:rsidRPr="00CB5FD4">
        <w:rPr>
          <w:rFonts w:ascii="Times New Roman" w:hAnsi="Times New Roman" w:cs="Times New Roman"/>
          <w:iCs/>
          <w:sz w:val="20"/>
          <w:szCs w:val="20"/>
          <w:lang w:eastAsia="en-AU"/>
        </w:rPr>
        <w:t>10</w:t>
      </w:r>
      <w:r w:rsidRPr="00CB5FD4">
        <w:rPr>
          <w:rFonts w:ascii="Times New Roman" w:hAnsi="Times New Roman" w:cs="Times New Roman"/>
          <w:sz w:val="20"/>
          <w:szCs w:val="20"/>
          <w:lang w:eastAsia="en-AU"/>
        </w:rPr>
        <w:t>(2)</w:t>
      </w:r>
      <w:r w:rsidR="00E51230" w:rsidRPr="00CB5FD4">
        <w:rPr>
          <w:rFonts w:ascii="Times New Roman" w:hAnsi="Times New Roman" w:cs="Times New Roman"/>
          <w:sz w:val="20"/>
          <w:szCs w:val="20"/>
          <w:lang w:eastAsia="en-AU"/>
        </w:rPr>
        <w:t>:</w:t>
      </w:r>
      <w:r w:rsidRPr="00CB5FD4">
        <w:rPr>
          <w:rFonts w:ascii="Times New Roman" w:hAnsi="Times New Roman" w:cs="Times New Roman"/>
          <w:sz w:val="20"/>
          <w:szCs w:val="20"/>
          <w:lang w:eastAsia="en-AU"/>
        </w:rPr>
        <w:t xml:space="preserve"> 31-36.</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Ghasemi, A., </w:t>
      </w:r>
      <w:r w:rsidR="00E51230" w:rsidRPr="00CB5FD4">
        <w:rPr>
          <w:rFonts w:ascii="Times New Roman" w:hAnsi="Times New Roman" w:cs="Times New Roman"/>
          <w:sz w:val="20"/>
          <w:szCs w:val="20"/>
        </w:rPr>
        <w:t>and</w:t>
      </w:r>
      <w:r w:rsidRPr="00CB5FD4">
        <w:rPr>
          <w:rFonts w:ascii="Times New Roman" w:hAnsi="Times New Roman" w:cs="Times New Roman"/>
          <w:sz w:val="20"/>
          <w:szCs w:val="20"/>
        </w:rPr>
        <w:t xml:space="preserve"> Zahediasl, S. (2012). Normality tests for statistical analysis: a guide for non-statisticians. </w:t>
      </w:r>
      <w:r w:rsidRPr="00CB5FD4">
        <w:rPr>
          <w:rFonts w:ascii="Times New Roman" w:hAnsi="Times New Roman" w:cs="Times New Roman"/>
          <w:i/>
          <w:sz w:val="20"/>
          <w:szCs w:val="20"/>
        </w:rPr>
        <w:t xml:space="preserve">International journal of endocrinology and metabolism, </w:t>
      </w:r>
      <w:r w:rsidRPr="00CB5FD4">
        <w:rPr>
          <w:rFonts w:ascii="Times New Roman" w:hAnsi="Times New Roman" w:cs="Times New Roman"/>
          <w:sz w:val="20"/>
          <w:szCs w:val="20"/>
        </w:rPr>
        <w:t>10</w:t>
      </w:r>
      <w:r w:rsidR="0016065A" w:rsidRPr="00CB5FD4">
        <w:rPr>
          <w:rFonts w:ascii="Times New Roman" w:hAnsi="Times New Roman" w:cs="Times New Roman"/>
          <w:sz w:val="20"/>
          <w:szCs w:val="20"/>
        </w:rPr>
        <w:t>(2):</w:t>
      </w:r>
      <w:r w:rsidRPr="00CB5FD4">
        <w:rPr>
          <w:rFonts w:ascii="Times New Roman" w:hAnsi="Times New Roman" w:cs="Times New Roman"/>
          <w:sz w:val="20"/>
          <w:szCs w:val="20"/>
        </w:rPr>
        <w:t xml:space="preserve"> 486-489. </w:t>
      </w:r>
      <w:bookmarkEnd w:id="18"/>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19" w:name="_ENREF_18"/>
      <w:r w:rsidRPr="00CB5FD4">
        <w:rPr>
          <w:rFonts w:ascii="Times New Roman" w:hAnsi="Times New Roman" w:cs="Times New Roman"/>
          <w:sz w:val="20"/>
          <w:szCs w:val="20"/>
        </w:rPr>
        <w:t xml:space="preserve">Goldenberg, S. (2015). Indonesia to cut carbon emissions by 29% by 2030.   Available from: </w:t>
      </w:r>
      <w:bookmarkEnd w:id="19"/>
      <w:r w:rsidR="00CD5EB4" w:rsidRPr="00CB5FD4">
        <w:rPr>
          <w:rFonts w:ascii="Times New Roman" w:hAnsi="Times New Roman" w:cs="Times New Roman"/>
          <w:sz w:val="20"/>
          <w:szCs w:val="20"/>
        </w:rPr>
        <w:t>https://www.theguardian.com</w:t>
      </w:r>
      <w:r w:rsidRPr="00CB5FD4">
        <w:rPr>
          <w:rFonts w:ascii="Times New Roman" w:hAnsi="Times New Roman" w:cs="Times New Roman"/>
          <w:sz w:val="20"/>
          <w:szCs w:val="20"/>
        </w:rPr>
        <w:t xml:space="preserve"> [Accessed 17 March 2017]</w:t>
      </w:r>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20" w:name="_ENREF_19"/>
      <w:r w:rsidRPr="00CB5FD4">
        <w:rPr>
          <w:rFonts w:ascii="Times New Roman" w:hAnsi="Times New Roman" w:cs="Times New Roman"/>
          <w:sz w:val="20"/>
          <w:szCs w:val="20"/>
        </w:rPr>
        <w:t xml:space="preserve">Gonzalez-Gonzalez, J.M.,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Ramirez, Z.C. (2016). Voluntary carbon disclosure by Spanish companies: an empirical analysis. </w:t>
      </w:r>
      <w:r w:rsidRPr="00CB5FD4">
        <w:rPr>
          <w:rFonts w:ascii="Times New Roman" w:hAnsi="Times New Roman" w:cs="Times New Roman"/>
          <w:i/>
          <w:sz w:val="20"/>
          <w:szCs w:val="20"/>
        </w:rPr>
        <w:t xml:space="preserve">International Journal of Climate Change Strategies and Management, </w:t>
      </w:r>
      <w:r w:rsidRPr="00CB5FD4">
        <w:rPr>
          <w:rFonts w:ascii="Times New Roman" w:hAnsi="Times New Roman" w:cs="Times New Roman"/>
          <w:sz w:val="20"/>
          <w:szCs w:val="20"/>
        </w:rPr>
        <w:t>8</w:t>
      </w:r>
      <w:r w:rsidR="0016065A" w:rsidRPr="00CB5FD4">
        <w:rPr>
          <w:rFonts w:ascii="Times New Roman" w:hAnsi="Times New Roman" w:cs="Times New Roman"/>
          <w:sz w:val="20"/>
          <w:szCs w:val="20"/>
        </w:rPr>
        <w:t>(1):</w:t>
      </w:r>
      <w:r w:rsidRPr="00CB5FD4">
        <w:rPr>
          <w:rFonts w:ascii="Times New Roman" w:hAnsi="Times New Roman" w:cs="Times New Roman"/>
          <w:sz w:val="20"/>
          <w:szCs w:val="20"/>
        </w:rPr>
        <w:t xml:space="preserve"> 57-79. </w:t>
      </w:r>
      <w:bookmarkEnd w:id="20"/>
    </w:p>
    <w:p w:rsidR="00E97628" w:rsidRPr="00CB5FD4" w:rsidRDefault="00F22990" w:rsidP="00A3138A">
      <w:pPr>
        <w:pStyle w:val="EndNoteBibliography"/>
        <w:spacing w:after="0"/>
        <w:ind w:left="284" w:hanging="284"/>
        <w:rPr>
          <w:rFonts w:ascii="Times New Roman" w:hAnsi="Times New Roman" w:cs="Times New Roman"/>
          <w:sz w:val="20"/>
          <w:szCs w:val="20"/>
        </w:rPr>
      </w:pPr>
      <w:bookmarkStart w:id="21" w:name="_ENREF_20"/>
      <w:r w:rsidRPr="00CB5FD4">
        <w:rPr>
          <w:rFonts w:ascii="Times New Roman" w:hAnsi="Times New Roman" w:cs="Times New Roman"/>
          <w:sz w:val="20"/>
          <w:szCs w:val="20"/>
        </w:rPr>
        <w:t xml:space="preserve">Gray, R., Kouhy, R.,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Lavers, S. (1995). Corporate social and environmental reporting: a review of the literature and a longitudinal study of UK disclosure. </w:t>
      </w:r>
      <w:r w:rsidRPr="00CB5FD4">
        <w:rPr>
          <w:rFonts w:ascii="Times New Roman" w:hAnsi="Times New Roman" w:cs="Times New Roman"/>
          <w:i/>
          <w:sz w:val="20"/>
          <w:szCs w:val="20"/>
        </w:rPr>
        <w:t xml:space="preserve">Accounting, Auditing </w:t>
      </w:r>
      <w:r w:rsidR="00E51230" w:rsidRPr="00CB5FD4">
        <w:rPr>
          <w:rFonts w:ascii="Times New Roman" w:hAnsi="Times New Roman" w:cs="Times New Roman"/>
          <w:i/>
          <w:sz w:val="20"/>
          <w:szCs w:val="20"/>
        </w:rPr>
        <w:t>and</w:t>
      </w:r>
      <w:r w:rsidRPr="00CB5FD4">
        <w:rPr>
          <w:rFonts w:ascii="Times New Roman" w:hAnsi="Times New Roman" w:cs="Times New Roman"/>
          <w:i/>
          <w:sz w:val="20"/>
          <w:szCs w:val="20"/>
        </w:rPr>
        <w:t xml:space="preserve"> Accountability Journal, </w:t>
      </w:r>
      <w:r w:rsidRPr="00CB5FD4">
        <w:rPr>
          <w:rFonts w:ascii="Times New Roman" w:hAnsi="Times New Roman" w:cs="Times New Roman"/>
          <w:sz w:val="20"/>
          <w:szCs w:val="20"/>
        </w:rPr>
        <w:t>8</w:t>
      </w:r>
      <w:r w:rsidR="0016065A" w:rsidRPr="00CB5FD4">
        <w:rPr>
          <w:rFonts w:ascii="Times New Roman" w:hAnsi="Times New Roman" w:cs="Times New Roman"/>
          <w:sz w:val="20"/>
          <w:szCs w:val="20"/>
        </w:rPr>
        <w:t>(2):</w:t>
      </w:r>
      <w:r w:rsidRPr="00CB5FD4">
        <w:rPr>
          <w:rFonts w:ascii="Times New Roman" w:hAnsi="Times New Roman" w:cs="Times New Roman"/>
          <w:sz w:val="20"/>
          <w:szCs w:val="20"/>
        </w:rPr>
        <w:t xml:space="preserve"> 47-77.</w:t>
      </w:r>
      <w:bookmarkStart w:id="22" w:name="_ENREF_22"/>
      <w:bookmarkEnd w:id="21"/>
    </w:p>
    <w:p w:rsidR="009C7180" w:rsidRPr="00CB5FD4" w:rsidRDefault="009C718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lang w:eastAsia="en-AU"/>
        </w:rPr>
        <w:t xml:space="preserve">Handriana, T. (2016). Mapping of </w:t>
      </w:r>
      <w:r w:rsidR="003A25BB" w:rsidRPr="00CB5FD4">
        <w:rPr>
          <w:rFonts w:ascii="Times New Roman" w:hAnsi="Times New Roman" w:cs="Times New Roman"/>
          <w:sz w:val="20"/>
          <w:szCs w:val="20"/>
          <w:lang w:eastAsia="en-AU"/>
        </w:rPr>
        <w:t>g</w:t>
      </w:r>
      <w:r w:rsidRPr="00CB5FD4">
        <w:rPr>
          <w:rFonts w:ascii="Times New Roman" w:hAnsi="Times New Roman" w:cs="Times New Roman"/>
          <w:sz w:val="20"/>
          <w:szCs w:val="20"/>
          <w:lang w:eastAsia="en-AU"/>
        </w:rPr>
        <w:t xml:space="preserve">reen </w:t>
      </w:r>
      <w:r w:rsidR="003A25BB" w:rsidRPr="00CB5FD4">
        <w:rPr>
          <w:rFonts w:ascii="Times New Roman" w:hAnsi="Times New Roman" w:cs="Times New Roman"/>
          <w:sz w:val="20"/>
          <w:szCs w:val="20"/>
          <w:lang w:eastAsia="en-AU"/>
        </w:rPr>
        <w:t>b</w:t>
      </w:r>
      <w:r w:rsidRPr="00CB5FD4">
        <w:rPr>
          <w:rFonts w:ascii="Times New Roman" w:hAnsi="Times New Roman" w:cs="Times New Roman"/>
          <w:sz w:val="20"/>
          <w:szCs w:val="20"/>
          <w:lang w:eastAsia="en-AU"/>
        </w:rPr>
        <w:t xml:space="preserve">uying </w:t>
      </w:r>
      <w:r w:rsidR="003A25BB"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 xml:space="preserve">erception in </w:t>
      </w:r>
      <w:r w:rsidR="003A25BB" w:rsidRPr="00CB5FD4">
        <w:rPr>
          <w:rFonts w:ascii="Times New Roman" w:hAnsi="Times New Roman" w:cs="Times New Roman"/>
          <w:sz w:val="20"/>
          <w:szCs w:val="20"/>
          <w:lang w:eastAsia="en-AU"/>
        </w:rPr>
        <w:t>d</w:t>
      </w:r>
      <w:r w:rsidRPr="00CB5FD4">
        <w:rPr>
          <w:rFonts w:ascii="Times New Roman" w:hAnsi="Times New Roman" w:cs="Times New Roman"/>
          <w:sz w:val="20"/>
          <w:szCs w:val="20"/>
          <w:lang w:eastAsia="en-AU"/>
        </w:rPr>
        <w:t xml:space="preserve">eveloping </w:t>
      </w:r>
      <w:r w:rsidR="004C3643" w:rsidRPr="00CB5FD4">
        <w:rPr>
          <w:rFonts w:ascii="Times New Roman" w:hAnsi="Times New Roman" w:cs="Times New Roman"/>
          <w:sz w:val="20"/>
          <w:szCs w:val="20"/>
          <w:lang w:eastAsia="en-AU"/>
        </w:rPr>
        <w:t>c</w:t>
      </w:r>
      <w:r w:rsidRPr="00CB5FD4">
        <w:rPr>
          <w:rFonts w:ascii="Times New Roman" w:hAnsi="Times New Roman" w:cs="Times New Roman"/>
          <w:sz w:val="20"/>
          <w:szCs w:val="20"/>
          <w:lang w:eastAsia="en-AU"/>
        </w:rPr>
        <w:t xml:space="preserve">ountry. </w:t>
      </w:r>
      <w:r w:rsidRPr="00CB5FD4">
        <w:rPr>
          <w:rFonts w:ascii="Times New Roman" w:hAnsi="Times New Roman" w:cs="Times New Roman"/>
          <w:i/>
          <w:iCs/>
          <w:sz w:val="20"/>
          <w:szCs w:val="20"/>
          <w:lang w:eastAsia="en-AU"/>
        </w:rPr>
        <w:t>Mediterranean Journal of Social Sciences, 7</w:t>
      </w:r>
      <w:r w:rsidRPr="00CB5FD4">
        <w:rPr>
          <w:rFonts w:ascii="Times New Roman" w:hAnsi="Times New Roman" w:cs="Times New Roman"/>
          <w:sz w:val="20"/>
          <w:szCs w:val="20"/>
          <w:lang w:eastAsia="en-AU"/>
        </w:rPr>
        <w:t>(2)</w:t>
      </w:r>
      <w:r w:rsidR="00E51230" w:rsidRPr="00CB5FD4">
        <w:rPr>
          <w:rFonts w:ascii="Times New Roman" w:hAnsi="Times New Roman" w:cs="Times New Roman"/>
          <w:sz w:val="20"/>
          <w:szCs w:val="20"/>
          <w:lang w:eastAsia="en-AU"/>
        </w:rPr>
        <w:t>:</w:t>
      </w:r>
      <w:r w:rsidRPr="00CB5FD4">
        <w:rPr>
          <w:rFonts w:ascii="Times New Roman" w:hAnsi="Times New Roman" w:cs="Times New Roman"/>
          <w:sz w:val="20"/>
          <w:szCs w:val="20"/>
          <w:lang w:eastAsia="en-AU"/>
        </w:rPr>
        <w:t xml:space="preserve"> 19-30.</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Harrison, M.E., Page, S.E.,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Limin, S.H. (2009). The global impact of Indonesian forest fires. </w:t>
      </w:r>
      <w:r w:rsidRPr="00CB5FD4">
        <w:rPr>
          <w:rFonts w:ascii="Times New Roman" w:hAnsi="Times New Roman" w:cs="Times New Roman"/>
          <w:i/>
          <w:sz w:val="20"/>
          <w:szCs w:val="20"/>
        </w:rPr>
        <w:t xml:space="preserve">Biologist, </w:t>
      </w:r>
      <w:r w:rsidRPr="00CB5FD4">
        <w:rPr>
          <w:rFonts w:ascii="Times New Roman" w:hAnsi="Times New Roman" w:cs="Times New Roman"/>
          <w:sz w:val="20"/>
          <w:szCs w:val="20"/>
        </w:rPr>
        <w:t>56</w:t>
      </w:r>
      <w:r w:rsidR="0016065A" w:rsidRPr="00CB5FD4">
        <w:rPr>
          <w:rFonts w:ascii="Times New Roman" w:hAnsi="Times New Roman" w:cs="Times New Roman"/>
          <w:sz w:val="20"/>
          <w:szCs w:val="20"/>
        </w:rPr>
        <w:t>(3):</w:t>
      </w:r>
      <w:r w:rsidRPr="00CB5FD4">
        <w:rPr>
          <w:rFonts w:ascii="Times New Roman" w:hAnsi="Times New Roman" w:cs="Times New Roman"/>
          <w:sz w:val="20"/>
          <w:szCs w:val="20"/>
        </w:rPr>
        <w:t xml:space="preserve"> 156-163. </w:t>
      </w:r>
      <w:bookmarkEnd w:id="22"/>
    </w:p>
    <w:p w:rsidR="00E97628" w:rsidRPr="00CB5FD4" w:rsidRDefault="00F22990" w:rsidP="00A3138A">
      <w:pPr>
        <w:pStyle w:val="EndNoteBibliography"/>
        <w:spacing w:after="0"/>
        <w:ind w:left="284" w:hanging="284"/>
        <w:rPr>
          <w:rFonts w:ascii="Times New Roman" w:hAnsi="Times New Roman" w:cs="Times New Roman"/>
          <w:sz w:val="20"/>
          <w:szCs w:val="20"/>
        </w:rPr>
      </w:pPr>
      <w:bookmarkStart w:id="23" w:name="_ENREF_23"/>
      <w:r w:rsidRPr="00CB5FD4">
        <w:rPr>
          <w:rFonts w:ascii="Times New Roman" w:hAnsi="Times New Roman" w:cs="Times New Roman"/>
          <w:sz w:val="20"/>
          <w:szCs w:val="20"/>
        </w:rPr>
        <w:t xml:space="preserve">Hutchison, P.D. (2011). Environmental </w:t>
      </w:r>
      <w:r w:rsidR="004C3643" w:rsidRPr="00CB5FD4">
        <w:rPr>
          <w:rFonts w:ascii="Times New Roman" w:hAnsi="Times New Roman" w:cs="Times New Roman"/>
          <w:sz w:val="20"/>
          <w:szCs w:val="20"/>
        </w:rPr>
        <w:t>a</w:t>
      </w:r>
      <w:r w:rsidRPr="00CB5FD4">
        <w:rPr>
          <w:rFonts w:ascii="Times New Roman" w:hAnsi="Times New Roman" w:cs="Times New Roman"/>
          <w:sz w:val="20"/>
          <w:szCs w:val="20"/>
        </w:rPr>
        <w:t xml:space="preserve">ccounting: Issues, </w:t>
      </w:r>
      <w:r w:rsidR="004C3643" w:rsidRPr="00CB5FD4">
        <w:rPr>
          <w:rFonts w:ascii="Times New Roman" w:hAnsi="Times New Roman" w:cs="Times New Roman"/>
          <w:sz w:val="20"/>
          <w:szCs w:val="20"/>
        </w:rPr>
        <w:t>r</w:t>
      </w:r>
      <w:r w:rsidRPr="00CB5FD4">
        <w:rPr>
          <w:rFonts w:ascii="Times New Roman" w:hAnsi="Times New Roman" w:cs="Times New Roman"/>
          <w:sz w:val="20"/>
          <w:szCs w:val="20"/>
        </w:rPr>
        <w:t xml:space="preserve">eporting </w:t>
      </w:r>
      <w:r w:rsidR="004C3643" w:rsidRPr="00CB5FD4">
        <w:rPr>
          <w:rFonts w:ascii="Times New Roman" w:hAnsi="Times New Roman" w:cs="Times New Roman"/>
          <w:sz w:val="20"/>
          <w:szCs w:val="20"/>
        </w:rPr>
        <w:t>a</w:t>
      </w:r>
      <w:r w:rsidRPr="00CB5FD4">
        <w:rPr>
          <w:rFonts w:ascii="Times New Roman" w:hAnsi="Times New Roman" w:cs="Times New Roman"/>
          <w:sz w:val="20"/>
          <w:szCs w:val="20"/>
        </w:rPr>
        <w:t xml:space="preserve">nd </w:t>
      </w:r>
      <w:r w:rsidR="004C3643" w:rsidRPr="00CB5FD4">
        <w:rPr>
          <w:rFonts w:ascii="Times New Roman" w:hAnsi="Times New Roman" w:cs="Times New Roman"/>
          <w:sz w:val="20"/>
          <w:szCs w:val="20"/>
        </w:rPr>
        <w:t>d</w:t>
      </w:r>
      <w:r w:rsidRPr="00CB5FD4">
        <w:rPr>
          <w:rFonts w:ascii="Times New Roman" w:hAnsi="Times New Roman" w:cs="Times New Roman"/>
          <w:sz w:val="20"/>
          <w:szCs w:val="20"/>
        </w:rPr>
        <w:t xml:space="preserve">isclosure. </w:t>
      </w:r>
      <w:r w:rsidRPr="00CB5FD4">
        <w:rPr>
          <w:rFonts w:ascii="Times New Roman" w:hAnsi="Times New Roman" w:cs="Times New Roman"/>
          <w:i/>
          <w:sz w:val="20"/>
          <w:szCs w:val="20"/>
        </w:rPr>
        <w:t xml:space="preserve">Journal of applied accounting research, </w:t>
      </w:r>
      <w:r w:rsidRPr="00CB5FD4">
        <w:rPr>
          <w:rFonts w:ascii="Times New Roman" w:hAnsi="Times New Roman" w:cs="Times New Roman"/>
          <w:sz w:val="20"/>
          <w:szCs w:val="20"/>
        </w:rPr>
        <w:t>16</w:t>
      </w:r>
      <w:r w:rsidR="0016065A" w:rsidRPr="00CB5FD4">
        <w:rPr>
          <w:rFonts w:ascii="Times New Roman" w:hAnsi="Times New Roman" w:cs="Times New Roman"/>
          <w:sz w:val="20"/>
          <w:szCs w:val="20"/>
        </w:rPr>
        <w:t>(4):</w:t>
      </w:r>
      <w:r w:rsidRPr="00CB5FD4">
        <w:rPr>
          <w:rFonts w:ascii="Times New Roman" w:hAnsi="Times New Roman" w:cs="Times New Roman"/>
          <w:sz w:val="20"/>
          <w:szCs w:val="20"/>
        </w:rPr>
        <w:t xml:space="preserve"> 37-46.</w:t>
      </w:r>
      <w:bookmarkStart w:id="24" w:name="_ENREF_24"/>
      <w:bookmarkEnd w:id="23"/>
    </w:p>
    <w:p w:rsidR="00033227" w:rsidRPr="00CB5FD4" w:rsidRDefault="00033227" w:rsidP="00A3138A">
      <w:pPr>
        <w:pStyle w:val="EndNoteBibliography"/>
        <w:spacing w:after="0"/>
        <w:ind w:left="284" w:hanging="284"/>
        <w:rPr>
          <w:sz w:val="20"/>
          <w:szCs w:val="20"/>
          <w:lang w:eastAsia="en-AU"/>
        </w:rPr>
      </w:pPr>
      <w:r w:rsidRPr="00CB5FD4">
        <w:rPr>
          <w:rFonts w:ascii="Times New Roman" w:hAnsi="Times New Roman" w:cs="Times New Roman"/>
          <w:sz w:val="20"/>
          <w:szCs w:val="20"/>
          <w:lang w:eastAsia="en-AU"/>
        </w:rPr>
        <w:t xml:space="preserve">IRENA. (2017). Renewable </w:t>
      </w:r>
      <w:r w:rsidR="004C3643" w:rsidRPr="00CB5FD4">
        <w:rPr>
          <w:rFonts w:ascii="Times New Roman" w:hAnsi="Times New Roman" w:cs="Times New Roman"/>
          <w:sz w:val="20"/>
          <w:szCs w:val="20"/>
          <w:lang w:eastAsia="en-AU"/>
        </w:rPr>
        <w:t>e</w:t>
      </w:r>
      <w:r w:rsidRPr="00CB5FD4">
        <w:rPr>
          <w:rFonts w:ascii="Times New Roman" w:hAnsi="Times New Roman" w:cs="Times New Roman"/>
          <w:sz w:val="20"/>
          <w:szCs w:val="20"/>
          <w:lang w:eastAsia="en-AU"/>
        </w:rPr>
        <w:t xml:space="preserve">nergy </w:t>
      </w:r>
      <w:r w:rsidR="004C3643" w:rsidRPr="00CB5FD4">
        <w:rPr>
          <w:rFonts w:ascii="Times New Roman" w:hAnsi="Times New Roman" w:cs="Times New Roman"/>
          <w:sz w:val="20"/>
          <w:szCs w:val="20"/>
          <w:lang w:eastAsia="en-AU"/>
        </w:rPr>
        <w:t>p</w:t>
      </w:r>
      <w:r w:rsidRPr="00CB5FD4">
        <w:rPr>
          <w:rFonts w:ascii="Times New Roman" w:hAnsi="Times New Roman" w:cs="Times New Roman"/>
          <w:sz w:val="20"/>
          <w:szCs w:val="20"/>
          <w:lang w:eastAsia="en-AU"/>
        </w:rPr>
        <w:t>rospects: Indonesia, a REmap analysis. Abu Dhabi: International Renewable Energy Agency.</w:t>
      </w:r>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25" w:name="_ENREF_27"/>
      <w:bookmarkEnd w:id="24"/>
      <w:r w:rsidRPr="00CB5FD4">
        <w:rPr>
          <w:rFonts w:ascii="Times New Roman" w:hAnsi="Times New Roman" w:cs="Times New Roman"/>
          <w:sz w:val="20"/>
          <w:szCs w:val="20"/>
        </w:rPr>
        <w:t xml:space="preserve">Kalu, J.U., Buang, A., </w:t>
      </w:r>
      <w:r w:rsidR="0064375D"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Aliagha, G.U. (2016). Determinants of voluntary carbon disclosure in the corporate real estate sector of Malaysia. </w:t>
      </w:r>
      <w:r w:rsidRPr="00CB5FD4">
        <w:rPr>
          <w:rFonts w:ascii="Times New Roman" w:hAnsi="Times New Roman" w:cs="Times New Roman"/>
          <w:i/>
          <w:sz w:val="20"/>
          <w:szCs w:val="20"/>
        </w:rPr>
        <w:t xml:space="preserve">Journal of Environmental Management, </w:t>
      </w:r>
      <w:r w:rsidRPr="00CB5FD4">
        <w:rPr>
          <w:rFonts w:ascii="Times New Roman" w:hAnsi="Times New Roman" w:cs="Times New Roman"/>
          <w:sz w:val="20"/>
          <w:szCs w:val="20"/>
        </w:rPr>
        <w:t>182</w:t>
      </w:r>
      <w:r w:rsidR="0016065A" w:rsidRPr="00CB5FD4">
        <w:rPr>
          <w:rFonts w:ascii="Times New Roman" w:hAnsi="Times New Roman" w:cs="Times New Roman"/>
          <w:sz w:val="20"/>
          <w:szCs w:val="20"/>
        </w:rPr>
        <w:t>:</w:t>
      </w:r>
      <w:r w:rsidRPr="00CB5FD4">
        <w:rPr>
          <w:rFonts w:ascii="Times New Roman" w:hAnsi="Times New Roman" w:cs="Times New Roman"/>
          <w:sz w:val="20"/>
          <w:szCs w:val="20"/>
        </w:rPr>
        <w:t xml:space="preserve"> 519-524. </w:t>
      </w:r>
      <w:bookmarkEnd w:id="25"/>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26" w:name="_ENREF_28"/>
      <w:r w:rsidRPr="00CB5FD4">
        <w:rPr>
          <w:rFonts w:ascii="Times New Roman" w:hAnsi="Times New Roman" w:cs="Times New Roman"/>
          <w:sz w:val="20"/>
          <w:szCs w:val="20"/>
        </w:rPr>
        <w:t xml:space="preserve">KEMENLHK. (2015). </w:t>
      </w:r>
      <w:r w:rsidR="00B81355" w:rsidRPr="00CB5FD4">
        <w:rPr>
          <w:rFonts w:ascii="Times New Roman" w:hAnsi="Times New Roman" w:cs="Times New Roman"/>
          <w:sz w:val="20"/>
          <w:szCs w:val="20"/>
        </w:rPr>
        <w:t xml:space="preserve">Indonesia’s </w:t>
      </w:r>
      <w:r w:rsidR="004C3643" w:rsidRPr="00CB5FD4">
        <w:rPr>
          <w:rFonts w:ascii="Times New Roman" w:hAnsi="Times New Roman" w:cs="Times New Roman"/>
          <w:sz w:val="20"/>
          <w:szCs w:val="20"/>
        </w:rPr>
        <w:t>p</w:t>
      </w:r>
      <w:r w:rsidR="00B81355" w:rsidRPr="00CB5FD4">
        <w:rPr>
          <w:rFonts w:ascii="Times New Roman" w:hAnsi="Times New Roman" w:cs="Times New Roman"/>
          <w:sz w:val="20"/>
          <w:szCs w:val="20"/>
        </w:rPr>
        <w:t xml:space="preserve">rogram for </w:t>
      </w:r>
      <w:r w:rsidR="004C3643" w:rsidRPr="00CB5FD4">
        <w:rPr>
          <w:rFonts w:ascii="Times New Roman" w:hAnsi="Times New Roman" w:cs="Times New Roman"/>
          <w:sz w:val="20"/>
          <w:szCs w:val="20"/>
        </w:rPr>
        <w:t>p</w:t>
      </w:r>
      <w:r w:rsidR="00B81355" w:rsidRPr="00CB5FD4">
        <w:rPr>
          <w:rFonts w:ascii="Times New Roman" w:hAnsi="Times New Roman" w:cs="Times New Roman"/>
          <w:sz w:val="20"/>
          <w:szCs w:val="20"/>
        </w:rPr>
        <w:t xml:space="preserve">ollution </w:t>
      </w:r>
      <w:r w:rsidR="004C3643" w:rsidRPr="00CB5FD4">
        <w:rPr>
          <w:rFonts w:ascii="Times New Roman" w:hAnsi="Times New Roman" w:cs="Times New Roman"/>
          <w:sz w:val="20"/>
          <w:szCs w:val="20"/>
        </w:rPr>
        <w:t>c</w:t>
      </w:r>
      <w:r w:rsidR="00B81355" w:rsidRPr="00CB5FD4">
        <w:rPr>
          <w:rFonts w:ascii="Times New Roman" w:hAnsi="Times New Roman" w:cs="Times New Roman"/>
          <w:sz w:val="20"/>
          <w:szCs w:val="20"/>
        </w:rPr>
        <w:t xml:space="preserve">ontrol, </w:t>
      </w:r>
      <w:r w:rsidR="004C3643" w:rsidRPr="00CB5FD4">
        <w:rPr>
          <w:rFonts w:ascii="Times New Roman" w:hAnsi="Times New Roman" w:cs="Times New Roman"/>
          <w:sz w:val="20"/>
          <w:szCs w:val="20"/>
        </w:rPr>
        <w:t>e</w:t>
      </w:r>
      <w:r w:rsidR="00B81355" w:rsidRPr="00CB5FD4">
        <w:rPr>
          <w:rFonts w:ascii="Times New Roman" w:hAnsi="Times New Roman" w:cs="Times New Roman"/>
          <w:sz w:val="20"/>
          <w:szCs w:val="20"/>
        </w:rPr>
        <w:t xml:space="preserve">valuation, and </w:t>
      </w:r>
      <w:r w:rsidR="004C3643" w:rsidRPr="00CB5FD4">
        <w:rPr>
          <w:rFonts w:ascii="Times New Roman" w:hAnsi="Times New Roman" w:cs="Times New Roman"/>
          <w:sz w:val="20"/>
          <w:szCs w:val="20"/>
        </w:rPr>
        <w:t>r</w:t>
      </w:r>
      <w:r w:rsidR="00B81355" w:rsidRPr="00CB5FD4">
        <w:rPr>
          <w:rFonts w:ascii="Times New Roman" w:hAnsi="Times New Roman" w:cs="Times New Roman"/>
          <w:sz w:val="20"/>
          <w:szCs w:val="20"/>
        </w:rPr>
        <w:t>ating (PROPER)</w:t>
      </w:r>
      <w:r w:rsidRPr="00CB5FD4">
        <w:rPr>
          <w:rFonts w:ascii="Times New Roman" w:hAnsi="Times New Roman" w:cs="Times New Roman"/>
          <w:sz w:val="20"/>
          <w:szCs w:val="20"/>
        </w:rPr>
        <w:t>. Jakarta: Ministry of Environment and Forestry of Indonesia.</w:t>
      </w:r>
      <w:bookmarkEnd w:id="26"/>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27" w:name="_ENREF_29"/>
      <w:r w:rsidRPr="00CB5FD4">
        <w:rPr>
          <w:rFonts w:ascii="Times New Roman" w:hAnsi="Times New Roman" w:cs="Times New Roman"/>
          <w:sz w:val="20"/>
          <w:szCs w:val="20"/>
        </w:rPr>
        <w:t xml:space="preserve">Kim, K. (2015). Revisiting The </w:t>
      </w:r>
      <w:r w:rsidR="004C3643" w:rsidRPr="00CB5FD4">
        <w:rPr>
          <w:rFonts w:ascii="Times New Roman" w:hAnsi="Times New Roman" w:cs="Times New Roman"/>
          <w:sz w:val="20"/>
          <w:szCs w:val="20"/>
        </w:rPr>
        <w:t>r</w:t>
      </w:r>
      <w:r w:rsidRPr="00CB5FD4">
        <w:rPr>
          <w:rFonts w:ascii="Times New Roman" w:hAnsi="Times New Roman" w:cs="Times New Roman"/>
          <w:sz w:val="20"/>
          <w:szCs w:val="20"/>
        </w:rPr>
        <w:t xml:space="preserve">elationship </w:t>
      </w:r>
      <w:r w:rsidR="004C3643" w:rsidRPr="00CB5FD4">
        <w:rPr>
          <w:rFonts w:ascii="Times New Roman" w:hAnsi="Times New Roman" w:cs="Times New Roman"/>
          <w:sz w:val="20"/>
          <w:szCs w:val="20"/>
        </w:rPr>
        <w:t>b</w:t>
      </w:r>
      <w:r w:rsidRPr="00CB5FD4">
        <w:rPr>
          <w:rFonts w:ascii="Times New Roman" w:hAnsi="Times New Roman" w:cs="Times New Roman"/>
          <w:sz w:val="20"/>
          <w:szCs w:val="20"/>
        </w:rPr>
        <w:t xml:space="preserve">etween </w:t>
      </w:r>
      <w:r w:rsidR="004C3643" w:rsidRPr="00CB5FD4">
        <w:rPr>
          <w:rFonts w:ascii="Times New Roman" w:hAnsi="Times New Roman" w:cs="Times New Roman"/>
          <w:sz w:val="20"/>
          <w:szCs w:val="20"/>
        </w:rPr>
        <w:t>f</w:t>
      </w:r>
      <w:r w:rsidRPr="00CB5FD4">
        <w:rPr>
          <w:rFonts w:ascii="Times New Roman" w:hAnsi="Times New Roman" w:cs="Times New Roman"/>
          <w:sz w:val="20"/>
          <w:szCs w:val="20"/>
        </w:rPr>
        <w:t xml:space="preserve">inancial </w:t>
      </w:r>
      <w:r w:rsidR="004C3643" w:rsidRPr="00CB5FD4">
        <w:rPr>
          <w:rFonts w:ascii="Times New Roman" w:hAnsi="Times New Roman" w:cs="Times New Roman"/>
          <w:sz w:val="20"/>
          <w:szCs w:val="20"/>
        </w:rPr>
        <w:t>a</w:t>
      </w:r>
      <w:r w:rsidRPr="00CB5FD4">
        <w:rPr>
          <w:rFonts w:ascii="Times New Roman" w:hAnsi="Times New Roman" w:cs="Times New Roman"/>
          <w:sz w:val="20"/>
          <w:szCs w:val="20"/>
        </w:rPr>
        <w:t xml:space="preserve">nd </w:t>
      </w:r>
      <w:r w:rsidR="004C3643" w:rsidRPr="00CB5FD4">
        <w:rPr>
          <w:rFonts w:ascii="Times New Roman" w:hAnsi="Times New Roman" w:cs="Times New Roman"/>
          <w:sz w:val="20"/>
          <w:szCs w:val="20"/>
        </w:rPr>
        <w:t>e</w:t>
      </w:r>
      <w:r w:rsidRPr="00CB5FD4">
        <w:rPr>
          <w:rFonts w:ascii="Times New Roman" w:hAnsi="Times New Roman" w:cs="Times New Roman"/>
          <w:sz w:val="20"/>
          <w:szCs w:val="20"/>
        </w:rPr>
        <w:t xml:space="preserve">nvironmental </w:t>
      </w:r>
      <w:r w:rsidR="004C3643" w:rsidRPr="00CB5FD4">
        <w:rPr>
          <w:rFonts w:ascii="Times New Roman" w:hAnsi="Times New Roman" w:cs="Times New Roman"/>
          <w:sz w:val="20"/>
          <w:szCs w:val="20"/>
        </w:rPr>
        <w:t>p</w:t>
      </w:r>
      <w:r w:rsidRPr="00CB5FD4">
        <w:rPr>
          <w:rFonts w:ascii="Times New Roman" w:hAnsi="Times New Roman" w:cs="Times New Roman"/>
          <w:sz w:val="20"/>
          <w:szCs w:val="20"/>
        </w:rPr>
        <w:t xml:space="preserve">erformance: Does </w:t>
      </w:r>
      <w:r w:rsidR="004C3643" w:rsidRPr="00CB5FD4">
        <w:rPr>
          <w:rFonts w:ascii="Times New Roman" w:hAnsi="Times New Roman" w:cs="Times New Roman"/>
          <w:sz w:val="20"/>
          <w:szCs w:val="20"/>
        </w:rPr>
        <w:t>G</w:t>
      </w:r>
      <w:r w:rsidRPr="00CB5FD4">
        <w:rPr>
          <w:rFonts w:ascii="Times New Roman" w:hAnsi="Times New Roman" w:cs="Times New Roman"/>
          <w:sz w:val="20"/>
          <w:szCs w:val="20"/>
        </w:rPr>
        <w:t xml:space="preserve">ranger </w:t>
      </w:r>
      <w:r w:rsidR="004C3643" w:rsidRPr="00CB5FD4">
        <w:rPr>
          <w:rFonts w:ascii="Times New Roman" w:hAnsi="Times New Roman" w:cs="Times New Roman"/>
          <w:sz w:val="20"/>
          <w:szCs w:val="20"/>
        </w:rPr>
        <w:t>c</w:t>
      </w:r>
      <w:r w:rsidRPr="00CB5FD4">
        <w:rPr>
          <w:rFonts w:ascii="Times New Roman" w:hAnsi="Times New Roman" w:cs="Times New Roman"/>
          <w:sz w:val="20"/>
          <w:szCs w:val="20"/>
        </w:rPr>
        <w:t xml:space="preserve">ausality </w:t>
      </w:r>
      <w:r w:rsidR="004C3643" w:rsidRPr="00CB5FD4">
        <w:rPr>
          <w:rFonts w:ascii="Times New Roman" w:hAnsi="Times New Roman" w:cs="Times New Roman"/>
          <w:sz w:val="20"/>
          <w:szCs w:val="20"/>
        </w:rPr>
        <w:t>m</w:t>
      </w:r>
      <w:r w:rsidRPr="00CB5FD4">
        <w:rPr>
          <w:rFonts w:ascii="Times New Roman" w:hAnsi="Times New Roman" w:cs="Times New Roman"/>
          <w:sz w:val="20"/>
          <w:szCs w:val="20"/>
        </w:rPr>
        <w:t xml:space="preserve">atter? </w:t>
      </w:r>
      <w:r w:rsidRPr="00CB5FD4">
        <w:rPr>
          <w:rFonts w:ascii="Times New Roman" w:hAnsi="Times New Roman" w:cs="Times New Roman"/>
          <w:i/>
          <w:sz w:val="20"/>
          <w:szCs w:val="20"/>
        </w:rPr>
        <w:t xml:space="preserve">Journal of Applied Business Research, </w:t>
      </w:r>
      <w:r w:rsidRPr="00CB5FD4">
        <w:rPr>
          <w:rFonts w:ascii="Times New Roman" w:hAnsi="Times New Roman" w:cs="Times New Roman"/>
          <w:sz w:val="20"/>
          <w:szCs w:val="20"/>
        </w:rPr>
        <w:t>31</w:t>
      </w:r>
      <w:r w:rsidR="0016065A" w:rsidRPr="00CB5FD4">
        <w:rPr>
          <w:rFonts w:ascii="Times New Roman" w:hAnsi="Times New Roman" w:cs="Times New Roman"/>
          <w:sz w:val="20"/>
          <w:szCs w:val="20"/>
        </w:rPr>
        <w:t>(5):</w:t>
      </w:r>
      <w:r w:rsidRPr="00CB5FD4">
        <w:rPr>
          <w:rFonts w:ascii="Times New Roman" w:hAnsi="Times New Roman" w:cs="Times New Roman"/>
          <w:sz w:val="20"/>
          <w:szCs w:val="20"/>
        </w:rPr>
        <w:t xml:space="preserve"> 1861-1875. </w:t>
      </w:r>
      <w:bookmarkEnd w:id="27"/>
    </w:p>
    <w:p w:rsidR="00E97628" w:rsidRPr="00CB5FD4" w:rsidRDefault="00F22990" w:rsidP="00A3138A">
      <w:pPr>
        <w:pStyle w:val="EndNoteBibliography"/>
        <w:spacing w:after="0"/>
        <w:ind w:left="284" w:hanging="284"/>
        <w:rPr>
          <w:rFonts w:ascii="Times New Roman" w:hAnsi="Times New Roman" w:cs="Times New Roman"/>
          <w:sz w:val="20"/>
          <w:szCs w:val="20"/>
        </w:rPr>
      </w:pPr>
      <w:bookmarkStart w:id="28" w:name="_ENREF_30"/>
      <w:r w:rsidRPr="00CB5FD4">
        <w:rPr>
          <w:rFonts w:ascii="Times New Roman" w:hAnsi="Times New Roman" w:cs="Times New Roman"/>
          <w:sz w:val="20"/>
          <w:szCs w:val="20"/>
        </w:rPr>
        <w:t xml:space="preserve">KNKG. (2006). </w:t>
      </w:r>
      <w:r w:rsidR="00E31315" w:rsidRPr="00CB5FD4">
        <w:rPr>
          <w:rFonts w:ascii="Times New Roman" w:hAnsi="Times New Roman" w:cs="Times New Roman"/>
          <w:iCs/>
          <w:sz w:val="20"/>
          <w:szCs w:val="20"/>
        </w:rPr>
        <w:t xml:space="preserve">General Guidelines of </w:t>
      </w:r>
      <w:r w:rsidRPr="00CB5FD4">
        <w:rPr>
          <w:rFonts w:ascii="Times New Roman" w:hAnsi="Times New Roman" w:cs="Times New Roman"/>
          <w:iCs/>
          <w:sz w:val="20"/>
          <w:szCs w:val="20"/>
        </w:rPr>
        <w:t>Good Corporate Governance Indonesia.</w:t>
      </w:r>
      <w:r w:rsidRPr="00CB5FD4">
        <w:rPr>
          <w:rFonts w:ascii="Times New Roman" w:hAnsi="Times New Roman" w:cs="Times New Roman"/>
          <w:sz w:val="20"/>
          <w:szCs w:val="20"/>
        </w:rPr>
        <w:t xml:space="preserve"> Jakarta: Komite Nasional Kebijakan Governance.</w:t>
      </w:r>
      <w:bookmarkStart w:id="29" w:name="_ENREF_31"/>
      <w:bookmarkEnd w:id="28"/>
    </w:p>
    <w:p w:rsidR="00912937" w:rsidRPr="00CB5FD4" w:rsidRDefault="00912937" w:rsidP="00A3138A">
      <w:pPr>
        <w:pStyle w:val="EndNoteBibliography"/>
        <w:spacing w:after="0"/>
        <w:ind w:left="284" w:hanging="284"/>
        <w:rPr>
          <w:rFonts w:ascii="Times New Roman" w:hAnsi="Times New Roman" w:cs="Times New Roman"/>
          <w:sz w:val="20"/>
          <w:szCs w:val="20"/>
          <w:lang w:eastAsia="en-AU"/>
        </w:rPr>
      </w:pPr>
      <w:r w:rsidRPr="00CB5FD4">
        <w:rPr>
          <w:rFonts w:ascii="Times New Roman" w:hAnsi="Times New Roman" w:cs="Times New Roman"/>
          <w:sz w:val="20"/>
          <w:szCs w:val="20"/>
          <w:lang w:eastAsia="en-AU"/>
        </w:rPr>
        <w:t>Kusumah, R.W.R.K., Manurung, D.T.H., Oktari, S</w:t>
      </w:r>
      <w:r w:rsidR="003F510C" w:rsidRPr="00CB5FD4">
        <w:rPr>
          <w:rFonts w:ascii="Times New Roman" w:hAnsi="Times New Roman" w:cs="Times New Roman"/>
          <w:sz w:val="20"/>
          <w:szCs w:val="20"/>
          <w:lang w:eastAsia="en-AU"/>
        </w:rPr>
        <w:t xml:space="preserve">. D., </w:t>
      </w:r>
      <w:r w:rsidR="00E51230" w:rsidRPr="00CB5FD4">
        <w:rPr>
          <w:rFonts w:ascii="Times New Roman" w:hAnsi="Times New Roman" w:cs="Times New Roman"/>
          <w:sz w:val="20"/>
          <w:szCs w:val="20"/>
          <w:lang w:eastAsia="en-AU"/>
        </w:rPr>
        <w:t>and</w:t>
      </w:r>
      <w:r w:rsidR="003F510C" w:rsidRPr="00CB5FD4">
        <w:rPr>
          <w:rFonts w:ascii="Times New Roman" w:hAnsi="Times New Roman" w:cs="Times New Roman"/>
          <w:sz w:val="20"/>
          <w:szCs w:val="20"/>
          <w:lang w:eastAsia="en-AU"/>
        </w:rPr>
        <w:t xml:space="preserve"> Husnatarina, F. (2016). </w:t>
      </w:r>
      <w:r w:rsidRPr="00CB5FD4">
        <w:rPr>
          <w:rFonts w:ascii="Times New Roman" w:hAnsi="Times New Roman" w:cs="Times New Roman"/>
          <w:iCs/>
          <w:sz w:val="20"/>
          <w:szCs w:val="20"/>
          <w:lang w:eastAsia="en-AU"/>
        </w:rPr>
        <w:t xml:space="preserve">Analysis of </w:t>
      </w:r>
      <w:r w:rsidR="004C3643" w:rsidRPr="00CB5FD4">
        <w:rPr>
          <w:rFonts w:ascii="Times New Roman" w:hAnsi="Times New Roman" w:cs="Times New Roman"/>
          <w:iCs/>
          <w:sz w:val="20"/>
          <w:szCs w:val="20"/>
          <w:lang w:eastAsia="en-AU"/>
        </w:rPr>
        <w:t>f</w:t>
      </w:r>
      <w:r w:rsidRPr="00CB5FD4">
        <w:rPr>
          <w:rFonts w:ascii="Times New Roman" w:hAnsi="Times New Roman" w:cs="Times New Roman"/>
          <w:iCs/>
          <w:sz w:val="20"/>
          <w:szCs w:val="20"/>
          <w:lang w:eastAsia="en-AU"/>
        </w:rPr>
        <w:t xml:space="preserve">actors </w:t>
      </w:r>
      <w:r w:rsidR="004C3643" w:rsidRPr="00CB5FD4">
        <w:rPr>
          <w:rFonts w:ascii="Times New Roman" w:hAnsi="Times New Roman" w:cs="Times New Roman"/>
          <w:iCs/>
          <w:sz w:val="20"/>
          <w:szCs w:val="20"/>
          <w:lang w:eastAsia="en-AU"/>
        </w:rPr>
        <w:t>a</w:t>
      </w:r>
      <w:r w:rsidRPr="00CB5FD4">
        <w:rPr>
          <w:rFonts w:ascii="Times New Roman" w:hAnsi="Times New Roman" w:cs="Times New Roman"/>
          <w:iCs/>
          <w:sz w:val="20"/>
          <w:szCs w:val="20"/>
          <w:lang w:eastAsia="en-AU"/>
        </w:rPr>
        <w:t xml:space="preserve">ffecting </w:t>
      </w:r>
      <w:r w:rsidR="004C3643" w:rsidRPr="00CB5FD4">
        <w:rPr>
          <w:rFonts w:ascii="Times New Roman" w:hAnsi="Times New Roman" w:cs="Times New Roman"/>
          <w:iCs/>
          <w:sz w:val="20"/>
          <w:szCs w:val="20"/>
          <w:lang w:eastAsia="en-AU"/>
        </w:rPr>
        <w:t>c</w:t>
      </w:r>
      <w:r w:rsidRPr="00CB5FD4">
        <w:rPr>
          <w:rFonts w:ascii="Times New Roman" w:hAnsi="Times New Roman" w:cs="Times New Roman"/>
          <w:iCs/>
          <w:sz w:val="20"/>
          <w:szCs w:val="20"/>
          <w:lang w:eastAsia="en-AU"/>
        </w:rPr>
        <w:t xml:space="preserve">arbon </w:t>
      </w:r>
      <w:r w:rsidR="004C3643" w:rsidRPr="00CB5FD4">
        <w:rPr>
          <w:rFonts w:ascii="Times New Roman" w:hAnsi="Times New Roman" w:cs="Times New Roman"/>
          <w:iCs/>
          <w:sz w:val="20"/>
          <w:szCs w:val="20"/>
          <w:lang w:eastAsia="en-AU"/>
        </w:rPr>
        <w:t>e</w:t>
      </w:r>
      <w:r w:rsidRPr="00CB5FD4">
        <w:rPr>
          <w:rFonts w:ascii="Times New Roman" w:hAnsi="Times New Roman" w:cs="Times New Roman"/>
          <w:iCs/>
          <w:sz w:val="20"/>
          <w:szCs w:val="20"/>
          <w:lang w:eastAsia="en-AU"/>
        </w:rPr>
        <w:t xml:space="preserve">mission </w:t>
      </w:r>
      <w:r w:rsidR="004C3643" w:rsidRPr="00CB5FD4">
        <w:rPr>
          <w:rFonts w:ascii="Times New Roman" w:hAnsi="Times New Roman" w:cs="Times New Roman"/>
          <w:iCs/>
          <w:sz w:val="20"/>
          <w:szCs w:val="20"/>
          <w:lang w:eastAsia="en-AU"/>
        </w:rPr>
        <w:t>d</w:t>
      </w:r>
      <w:r w:rsidRPr="00CB5FD4">
        <w:rPr>
          <w:rFonts w:ascii="Times New Roman" w:hAnsi="Times New Roman" w:cs="Times New Roman"/>
          <w:iCs/>
          <w:sz w:val="20"/>
          <w:szCs w:val="20"/>
          <w:lang w:eastAsia="en-AU"/>
        </w:rPr>
        <w:t xml:space="preserve">isclosure (An </w:t>
      </w:r>
      <w:r w:rsidR="004C3643" w:rsidRPr="00CB5FD4">
        <w:rPr>
          <w:rFonts w:ascii="Times New Roman" w:hAnsi="Times New Roman" w:cs="Times New Roman"/>
          <w:iCs/>
          <w:sz w:val="20"/>
          <w:szCs w:val="20"/>
          <w:lang w:eastAsia="en-AU"/>
        </w:rPr>
        <w:t>e</w:t>
      </w:r>
      <w:r w:rsidRPr="00CB5FD4">
        <w:rPr>
          <w:rFonts w:ascii="Times New Roman" w:hAnsi="Times New Roman" w:cs="Times New Roman"/>
          <w:iCs/>
          <w:sz w:val="20"/>
          <w:szCs w:val="20"/>
          <w:lang w:eastAsia="en-AU"/>
        </w:rPr>
        <w:t xml:space="preserve">mpirical </w:t>
      </w:r>
      <w:r w:rsidR="004C3643" w:rsidRPr="00CB5FD4">
        <w:rPr>
          <w:rFonts w:ascii="Times New Roman" w:hAnsi="Times New Roman" w:cs="Times New Roman"/>
          <w:iCs/>
          <w:sz w:val="20"/>
          <w:szCs w:val="20"/>
          <w:lang w:eastAsia="en-AU"/>
        </w:rPr>
        <w:t>s</w:t>
      </w:r>
      <w:r w:rsidRPr="00CB5FD4">
        <w:rPr>
          <w:rFonts w:ascii="Times New Roman" w:hAnsi="Times New Roman" w:cs="Times New Roman"/>
          <w:iCs/>
          <w:sz w:val="20"/>
          <w:szCs w:val="20"/>
          <w:lang w:eastAsia="en-AU"/>
        </w:rPr>
        <w:t xml:space="preserve">tudy at </w:t>
      </w:r>
      <w:r w:rsidR="004C3643" w:rsidRPr="00CB5FD4">
        <w:rPr>
          <w:rFonts w:ascii="Times New Roman" w:hAnsi="Times New Roman" w:cs="Times New Roman"/>
          <w:iCs/>
          <w:sz w:val="20"/>
          <w:szCs w:val="20"/>
          <w:lang w:eastAsia="en-AU"/>
        </w:rPr>
        <w:t>c</w:t>
      </w:r>
      <w:r w:rsidRPr="00CB5FD4">
        <w:rPr>
          <w:rFonts w:ascii="Times New Roman" w:hAnsi="Times New Roman" w:cs="Times New Roman"/>
          <w:iCs/>
          <w:sz w:val="20"/>
          <w:szCs w:val="20"/>
          <w:lang w:eastAsia="en-AU"/>
        </w:rPr>
        <w:t xml:space="preserve">ompanies </w:t>
      </w:r>
      <w:r w:rsidR="004C3643" w:rsidRPr="00CB5FD4">
        <w:rPr>
          <w:rFonts w:ascii="Times New Roman" w:hAnsi="Times New Roman" w:cs="Times New Roman"/>
          <w:iCs/>
          <w:sz w:val="20"/>
          <w:szCs w:val="20"/>
          <w:lang w:eastAsia="en-AU"/>
        </w:rPr>
        <w:t>r</w:t>
      </w:r>
      <w:r w:rsidRPr="00CB5FD4">
        <w:rPr>
          <w:rFonts w:ascii="Times New Roman" w:hAnsi="Times New Roman" w:cs="Times New Roman"/>
          <w:iCs/>
          <w:sz w:val="20"/>
          <w:szCs w:val="20"/>
          <w:lang w:eastAsia="en-AU"/>
        </w:rPr>
        <w:t xml:space="preserve">egistered with </w:t>
      </w:r>
      <w:r w:rsidR="004C3643" w:rsidRPr="00CB5FD4">
        <w:rPr>
          <w:rFonts w:ascii="Times New Roman" w:hAnsi="Times New Roman" w:cs="Times New Roman"/>
          <w:iCs/>
          <w:sz w:val="20"/>
          <w:szCs w:val="20"/>
          <w:lang w:eastAsia="en-AU"/>
        </w:rPr>
        <w:t>s</w:t>
      </w:r>
      <w:r w:rsidRPr="00CB5FD4">
        <w:rPr>
          <w:rFonts w:ascii="Times New Roman" w:hAnsi="Times New Roman" w:cs="Times New Roman"/>
          <w:iCs/>
          <w:sz w:val="20"/>
          <w:szCs w:val="20"/>
          <w:lang w:eastAsia="en-AU"/>
        </w:rPr>
        <w:t xml:space="preserve">ustainability </w:t>
      </w:r>
      <w:r w:rsidR="004C3643" w:rsidRPr="00CB5FD4">
        <w:rPr>
          <w:rFonts w:ascii="Times New Roman" w:hAnsi="Times New Roman" w:cs="Times New Roman"/>
          <w:iCs/>
          <w:sz w:val="20"/>
          <w:szCs w:val="20"/>
          <w:lang w:eastAsia="en-AU"/>
        </w:rPr>
        <w:t>r</w:t>
      </w:r>
      <w:r w:rsidRPr="00CB5FD4">
        <w:rPr>
          <w:rFonts w:ascii="Times New Roman" w:hAnsi="Times New Roman" w:cs="Times New Roman"/>
          <w:iCs/>
          <w:sz w:val="20"/>
          <w:szCs w:val="20"/>
          <w:lang w:eastAsia="en-AU"/>
        </w:rPr>
        <w:t xml:space="preserve">eporting </w:t>
      </w:r>
      <w:r w:rsidR="004C3643" w:rsidRPr="00CB5FD4">
        <w:rPr>
          <w:rFonts w:ascii="Times New Roman" w:hAnsi="Times New Roman" w:cs="Times New Roman"/>
          <w:iCs/>
          <w:sz w:val="20"/>
          <w:szCs w:val="20"/>
          <w:lang w:eastAsia="en-AU"/>
        </w:rPr>
        <w:t>a</w:t>
      </w:r>
      <w:r w:rsidRPr="00CB5FD4">
        <w:rPr>
          <w:rFonts w:ascii="Times New Roman" w:hAnsi="Times New Roman" w:cs="Times New Roman"/>
          <w:iCs/>
          <w:sz w:val="20"/>
          <w:szCs w:val="20"/>
          <w:lang w:eastAsia="en-AU"/>
        </w:rPr>
        <w:t>ward 2015)</w:t>
      </w:r>
      <w:r w:rsidRPr="00CB5FD4">
        <w:rPr>
          <w:rFonts w:ascii="Times New Roman" w:hAnsi="Times New Roman" w:cs="Times New Roman"/>
          <w:i/>
          <w:iCs/>
          <w:sz w:val="20"/>
          <w:szCs w:val="20"/>
          <w:lang w:eastAsia="en-AU"/>
        </w:rPr>
        <w:t>.</w:t>
      </w:r>
      <w:r w:rsidRPr="00CB5FD4">
        <w:rPr>
          <w:rFonts w:ascii="Times New Roman" w:hAnsi="Times New Roman" w:cs="Times New Roman"/>
          <w:sz w:val="20"/>
          <w:szCs w:val="20"/>
          <w:lang w:eastAsia="en-AU"/>
        </w:rPr>
        <w:t xml:space="preserve"> Proceedings of the 8th Widyatama International Seminar on Sustainability (pp. </w:t>
      </w:r>
      <w:r w:rsidR="007B7DA8" w:rsidRPr="00CB5FD4">
        <w:rPr>
          <w:rFonts w:ascii="Times New Roman" w:hAnsi="Times New Roman" w:cs="Times New Roman"/>
          <w:sz w:val="20"/>
          <w:szCs w:val="20"/>
          <w:lang w:eastAsia="en-AU"/>
        </w:rPr>
        <w:t xml:space="preserve">203-207). </w:t>
      </w:r>
      <w:r w:rsidR="00D9520C" w:rsidRPr="00CB5FD4">
        <w:rPr>
          <w:rFonts w:ascii="Times New Roman" w:hAnsi="Times New Roman" w:cs="Times New Roman"/>
          <w:sz w:val="20"/>
          <w:szCs w:val="20"/>
          <w:lang w:eastAsia="en-AU"/>
        </w:rPr>
        <w:t>Bandung.</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Li, D., Zhao, Y., Sun, Y.,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Yin, D. (2017). Corporate environmental performance, environmental information disclosure, and financial performance: Evidence from China. </w:t>
      </w:r>
      <w:r w:rsidRPr="00CB5FD4">
        <w:rPr>
          <w:rFonts w:ascii="Times New Roman" w:hAnsi="Times New Roman" w:cs="Times New Roman"/>
          <w:i/>
          <w:sz w:val="20"/>
          <w:szCs w:val="20"/>
        </w:rPr>
        <w:t xml:space="preserve">Human and Ecological Risk Assessment: An International Journal, </w:t>
      </w:r>
      <w:r w:rsidRPr="00CB5FD4">
        <w:rPr>
          <w:rFonts w:ascii="Times New Roman" w:hAnsi="Times New Roman" w:cs="Times New Roman"/>
          <w:sz w:val="20"/>
          <w:szCs w:val="20"/>
        </w:rPr>
        <w:t>23</w:t>
      </w:r>
      <w:r w:rsidR="0016065A" w:rsidRPr="00CB5FD4">
        <w:rPr>
          <w:rFonts w:ascii="Times New Roman" w:hAnsi="Times New Roman" w:cs="Times New Roman"/>
          <w:sz w:val="20"/>
          <w:szCs w:val="20"/>
        </w:rPr>
        <w:t>(2):</w:t>
      </w:r>
      <w:r w:rsidRPr="00CB5FD4">
        <w:rPr>
          <w:rFonts w:ascii="Times New Roman" w:hAnsi="Times New Roman" w:cs="Times New Roman"/>
          <w:sz w:val="20"/>
          <w:szCs w:val="20"/>
        </w:rPr>
        <w:t xml:space="preserve"> 323-339. </w:t>
      </w:r>
      <w:bookmarkEnd w:id="29"/>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30" w:name="_ENREF_32"/>
      <w:r w:rsidRPr="00CB5FD4">
        <w:rPr>
          <w:rFonts w:ascii="Times New Roman" w:hAnsi="Times New Roman" w:cs="Times New Roman"/>
          <w:sz w:val="20"/>
          <w:szCs w:val="20"/>
        </w:rPr>
        <w:t xml:space="preserve">Liao, L., Luo, L.,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Tang, Q. (2015). Gender diversity, board independence, environmental committee and greenhouse gas disclosure. </w:t>
      </w:r>
      <w:r w:rsidRPr="00CB5FD4">
        <w:rPr>
          <w:rFonts w:ascii="Times New Roman" w:hAnsi="Times New Roman" w:cs="Times New Roman"/>
          <w:i/>
          <w:sz w:val="20"/>
          <w:szCs w:val="20"/>
        </w:rPr>
        <w:t xml:space="preserve">The British Accounting Review, </w:t>
      </w:r>
      <w:r w:rsidRPr="00CB5FD4">
        <w:rPr>
          <w:rFonts w:ascii="Times New Roman" w:hAnsi="Times New Roman" w:cs="Times New Roman"/>
          <w:sz w:val="20"/>
          <w:szCs w:val="20"/>
        </w:rPr>
        <w:t>47</w:t>
      </w:r>
      <w:r w:rsidR="0016065A" w:rsidRPr="00CB5FD4">
        <w:rPr>
          <w:rFonts w:ascii="Times New Roman" w:hAnsi="Times New Roman" w:cs="Times New Roman"/>
          <w:sz w:val="20"/>
          <w:szCs w:val="20"/>
        </w:rPr>
        <w:t>(4):</w:t>
      </w:r>
      <w:r w:rsidRPr="00CB5FD4">
        <w:rPr>
          <w:rFonts w:ascii="Times New Roman" w:hAnsi="Times New Roman" w:cs="Times New Roman"/>
          <w:sz w:val="20"/>
          <w:szCs w:val="20"/>
        </w:rPr>
        <w:t xml:space="preserve"> 409-424.</w:t>
      </w:r>
      <w:bookmarkEnd w:id="30"/>
    </w:p>
    <w:p w:rsidR="00E97628" w:rsidRPr="00CB5FD4" w:rsidRDefault="00EC2F26" w:rsidP="00A3138A">
      <w:pPr>
        <w:pStyle w:val="EndNoteBibliography"/>
        <w:spacing w:after="0"/>
        <w:ind w:left="284" w:hanging="284"/>
        <w:rPr>
          <w:rFonts w:ascii="Times New Roman" w:hAnsi="Times New Roman" w:cs="Times New Roman"/>
          <w:sz w:val="20"/>
          <w:szCs w:val="20"/>
        </w:rPr>
      </w:pPr>
      <w:bookmarkStart w:id="31" w:name="_ENREF_33"/>
      <w:r w:rsidRPr="00CB5FD4">
        <w:rPr>
          <w:rFonts w:ascii="Times New Roman" w:hAnsi="Times New Roman" w:cs="Times New Roman"/>
          <w:sz w:val="20"/>
          <w:szCs w:val="20"/>
        </w:rPr>
        <w:t>Liesen, A., Hoepner, A.G., Patten, D.</w:t>
      </w:r>
      <w:r w:rsidR="00F22990" w:rsidRPr="00CB5FD4">
        <w:rPr>
          <w:rFonts w:ascii="Times New Roman" w:hAnsi="Times New Roman" w:cs="Times New Roman"/>
          <w:sz w:val="20"/>
          <w:szCs w:val="20"/>
        </w:rPr>
        <w:t xml:space="preserve">M., </w:t>
      </w:r>
      <w:r w:rsidR="0064375D" w:rsidRPr="00CB5FD4">
        <w:rPr>
          <w:rFonts w:ascii="Times New Roman" w:hAnsi="Times New Roman" w:cs="Times New Roman"/>
          <w:sz w:val="20"/>
          <w:szCs w:val="20"/>
        </w:rPr>
        <w:t>and</w:t>
      </w:r>
      <w:r w:rsidR="00F22990" w:rsidRPr="00CB5FD4">
        <w:rPr>
          <w:rFonts w:ascii="Times New Roman" w:hAnsi="Times New Roman" w:cs="Times New Roman"/>
          <w:sz w:val="20"/>
          <w:szCs w:val="20"/>
        </w:rPr>
        <w:t xml:space="preserve"> Figge, F. (2015). Does stakeholder pressure influence corporate GHG emissions reporting? Empirical evidence from Europe. </w:t>
      </w:r>
      <w:r w:rsidR="00F22990" w:rsidRPr="00CB5FD4">
        <w:rPr>
          <w:rFonts w:ascii="Times New Roman" w:hAnsi="Times New Roman" w:cs="Times New Roman"/>
          <w:i/>
          <w:sz w:val="20"/>
          <w:szCs w:val="20"/>
        </w:rPr>
        <w:t xml:space="preserve">Accounting, Auditing </w:t>
      </w:r>
      <w:r w:rsidR="00E51230" w:rsidRPr="00CB5FD4">
        <w:rPr>
          <w:rFonts w:ascii="Times New Roman" w:hAnsi="Times New Roman" w:cs="Times New Roman"/>
          <w:i/>
          <w:sz w:val="20"/>
          <w:szCs w:val="20"/>
        </w:rPr>
        <w:t>and</w:t>
      </w:r>
      <w:r w:rsidR="00F22990" w:rsidRPr="00CB5FD4">
        <w:rPr>
          <w:rFonts w:ascii="Times New Roman" w:hAnsi="Times New Roman" w:cs="Times New Roman"/>
          <w:i/>
          <w:sz w:val="20"/>
          <w:szCs w:val="20"/>
        </w:rPr>
        <w:t xml:space="preserve"> Accountability Journal, </w:t>
      </w:r>
      <w:r w:rsidR="00F22990" w:rsidRPr="00CB5FD4">
        <w:rPr>
          <w:rFonts w:ascii="Times New Roman" w:hAnsi="Times New Roman" w:cs="Times New Roman"/>
          <w:sz w:val="20"/>
          <w:szCs w:val="20"/>
        </w:rPr>
        <w:t>28</w:t>
      </w:r>
      <w:r w:rsidR="0016065A" w:rsidRPr="00CB5FD4">
        <w:rPr>
          <w:rFonts w:ascii="Times New Roman" w:hAnsi="Times New Roman" w:cs="Times New Roman"/>
          <w:sz w:val="20"/>
          <w:szCs w:val="20"/>
        </w:rPr>
        <w:t>(7):</w:t>
      </w:r>
      <w:r w:rsidR="00F22990" w:rsidRPr="00CB5FD4">
        <w:rPr>
          <w:rFonts w:ascii="Times New Roman" w:hAnsi="Times New Roman" w:cs="Times New Roman"/>
          <w:sz w:val="20"/>
          <w:szCs w:val="20"/>
        </w:rPr>
        <w:t xml:space="preserve"> 1047-1074.</w:t>
      </w:r>
      <w:bookmarkStart w:id="32" w:name="_ENREF_35"/>
      <w:bookmarkEnd w:id="31"/>
    </w:p>
    <w:p w:rsidR="00E97628" w:rsidRPr="00CB5FD4" w:rsidRDefault="00261729" w:rsidP="00A3138A">
      <w:pPr>
        <w:pStyle w:val="EndNoteBibliography"/>
        <w:spacing w:after="0"/>
        <w:ind w:left="284" w:hanging="284"/>
        <w:rPr>
          <w:rFonts w:ascii="Times New Roman" w:hAnsi="Times New Roman" w:cs="Times New Roman"/>
          <w:sz w:val="20"/>
          <w:szCs w:val="20"/>
          <w:lang w:eastAsia="en-AU"/>
        </w:rPr>
      </w:pPr>
      <w:r w:rsidRPr="00CB5FD4">
        <w:rPr>
          <w:rFonts w:ascii="Times New Roman" w:hAnsi="Times New Roman" w:cs="Times New Roman"/>
          <w:sz w:val="20"/>
          <w:szCs w:val="20"/>
        </w:rPr>
        <w:t xml:space="preserve">Marete (2011). </w:t>
      </w:r>
      <w:r w:rsidRPr="00CB5FD4">
        <w:rPr>
          <w:rFonts w:ascii="Times New Roman" w:hAnsi="Times New Roman" w:cs="Times New Roman"/>
          <w:iCs/>
          <w:sz w:val="20"/>
          <w:szCs w:val="20"/>
          <w:lang w:eastAsia="en-AU"/>
        </w:rPr>
        <w:t xml:space="preserve">The </w:t>
      </w:r>
      <w:r w:rsidR="004C3643" w:rsidRPr="00CB5FD4">
        <w:rPr>
          <w:rFonts w:ascii="Times New Roman" w:hAnsi="Times New Roman" w:cs="Times New Roman"/>
          <w:iCs/>
          <w:sz w:val="20"/>
          <w:szCs w:val="20"/>
          <w:lang w:eastAsia="en-AU"/>
        </w:rPr>
        <w:t>r</w:t>
      </w:r>
      <w:r w:rsidRPr="00CB5FD4">
        <w:rPr>
          <w:rFonts w:ascii="Times New Roman" w:hAnsi="Times New Roman" w:cs="Times New Roman"/>
          <w:iCs/>
          <w:sz w:val="20"/>
          <w:szCs w:val="20"/>
          <w:lang w:eastAsia="en-AU"/>
        </w:rPr>
        <w:t xml:space="preserve">elationship between </w:t>
      </w:r>
      <w:r w:rsidR="004C3643" w:rsidRPr="00CB5FD4">
        <w:rPr>
          <w:rFonts w:ascii="Times New Roman" w:hAnsi="Times New Roman" w:cs="Times New Roman"/>
          <w:iCs/>
          <w:sz w:val="20"/>
          <w:szCs w:val="20"/>
          <w:lang w:eastAsia="en-AU"/>
        </w:rPr>
        <w:t>f</w:t>
      </w:r>
      <w:r w:rsidRPr="00CB5FD4">
        <w:rPr>
          <w:rFonts w:ascii="Times New Roman" w:hAnsi="Times New Roman" w:cs="Times New Roman"/>
          <w:iCs/>
          <w:sz w:val="20"/>
          <w:szCs w:val="20"/>
          <w:lang w:eastAsia="en-AU"/>
        </w:rPr>
        <w:t xml:space="preserve">irm </w:t>
      </w:r>
      <w:r w:rsidR="004C3643" w:rsidRPr="00CB5FD4">
        <w:rPr>
          <w:rFonts w:ascii="Times New Roman" w:hAnsi="Times New Roman" w:cs="Times New Roman"/>
          <w:iCs/>
          <w:sz w:val="20"/>
          <w:szCs w:val="20"/>
          <w:lang w:eastAsia="en-AU"/>
        </w:rPr>
        <w:t>s</w:t>
      </w:r>
      <w:r w:rsidRPr="00CB5FD4">
        <w:rPr>
          <w:rFonts w:ascii="Times New Roman" w:hAnsi="Times New Roman" w:cs="Times New Roman"/>
          <w:iCs/>
          <w:sz w:val="20"/>
          <w:szCs w:val="20"/>
          <w:lang w:eastAsia="en-AU"/>
        </w:rPr>
        <w:t xml:space="preserve">ize and </w:t>
      </w:r>
      <w:r w:rsidR="004C3643" w:rsidRPr="00CB5FD4">
        <w:rPr>
          <w:rFonts w:ascii="Times New Roman" w:hAnsi="Times New Roman" w:cs="Times New Roman"/>
          <w:iCs/>
          <w:sz w:val="20"/>
          <w:szCs w:val="20"/>
          <w:lang w:eastAsia="en-AU"/>
        </w:rPr>
        <w:t>f</w:t>
      </w:r>
      <w:r w:rsidRPr="00CB5FD4">
        <w:rPr>
          <w:rFonts w:ascii="Times New Roman" w:hAnsi="Times New Roman" w:cs="Times New Roman"/>
          <w:iCs/>
          <w:sz w:val="20"/>
          <w:szCs w:val="20"/>
          <w:lang w:eastAsia="en-AU"/>
        </w:rPr>
        <w:t xml:space="preserve">inancial </w:t>
      </w:r>
      <w:r w:rsidR="004C3643" w:rsidRPr="00CB5FD4">
        <w:rPr>
          <w:rFonts w:ascii="Times New Roman" w:hAnsi="Times New Roman" w:cs="Times New Roman"/>
          <w:iCs/>
          <w:sz w:val="20"/>
          <w:szCs w:val="20"/>
          <w:lang w:eastAsia="en-AU"/>
        </w:rPr>
        <w:t>l</w:t>
      </w:r>
      <w:r w:rsidRPr="00CB5FD4">
        <w:rPr>
          <w:rFonts w:ascii="Times New Roman" w:hAnsi="Times New Roman" w:cs="Times New Roman"/>
          <w:iCs/>
          <w:sz w:val="20"/>
          <w:szCs w:val="20"/>
          <w:lang w:eastAsia="en-AU"/>
        </w:rPr>
        <w:t xml:space="preserve">everage of </w:t>
      </w:r>
      <w:r w:rsidR="004C3643" w:rsidRPr="00CB5FD4">
        <w:rPr>
          <w:rFonts w:ascii="Times New Roman" w:hAnsi="Times New Roman" w:cs="Times New Roman"/>
          <w:iCs/>
          <w:sz w:val="20"/>
          <w:szCs w:val="20"/>
          <w:lang w:eastAsia="en-AU"/>
        </w:rPr>
        <w:t>f</w:t>
      </w:r>
      <w:r w:rsidRPr="00CB5FD4">
        <w:rPr>
          <w:rFonts w:ascii="Times New Roman" w:hAnsi="Times New Roman" w:cs="Times New Roman"/>
          <w:iCs/>
          <w:sz w:val="20"/>
          <w:szCs w:val="20"/>
          <w:lang w:eastAsia="en-AU"/>
        </w:rPr>
        <w:t xml:space="preserve">irms </w:t>
      </w:r>
      <w:r w:rsidR="004C3643" w:rsidRPr="00CB5FD4">
        <w:rPr>
          <w:rFonts w:ascii="Times New Roman" w:hAnsi="Times New Roman" w:cs="Times New Roman"/>
          <w:iCs/>
          <w:sz w:val="20"/>
          <w:szCs w:val="20"/>
          <w:lang w:eastAsia="en-AU"/>
        </w:rPr>
        <w:t>l</w:t>
      </w:r>
      <w:r w:rsidRPr="00CB5FD4">
        <w:rPr>
          <w:rFonts w:ascii="Times New Roman" w:hAnsi="Times New Roman" w:cs="Times New Roman"/>
          <w:iCs/>
          <w:sz w:val="20"/>
          <w:szCs w:val="20"/>
          <w:lang w:eastAsia="en-AU"/>
        </w:rPr>
        <w:t>isted at Nairobi Securities Exchange.</w:t>
      </w:r>
      <w:r w:rsidRPr="00CB5FD4">
        <w:rPr>
          <w:rFonts w:ascii="Times New Roman" w:hAnsi="Times New Roman" w:cs="Times New Roman"/>
          <w:sz w:val="20"/>
          <w:szCs w:val="20"/>
          <w:lang w:eastAsia="en-AU"/>
        </w:rPr>
        <w:t xml:space="preserve"> University of Nairobi, Nairobi, Kenya.</w:t>
      </w:r>
    </w:p>
    <w:p w:rsidR="00B81355" w:rsidRPr="00CB5FD4" w:rsidRDefault="00F22990" w:rsidP="00A3138A">
      <w:pPr>
        <w:pStyle w:val="EndNoteBibliography"/>
        <w:spacing w:after="0"/>
        <w:ind w:left="284" w:hanging="284"/>
        <w:rPr>
          <w:rFonts w:ascii="Times New Roman" w:hAnsi="Times New Roman" w:cs="Times New Roman"/>
          <w:sz w:val="20"/>
          <w:szCs w:val="20"/>
          <w:u w:val="single"/>
        </w:rPr>
      </w:pPr>
      <w:r w:rsidRPr="00CB5FD4">
        <w:rPr>
          <w:rFonts w:ascii="Times New Roman" w:hAnsi="Times New Roman" w:cs="Times New Roman"/>
          <w:sz w:val="20"/>
          <w:szCs w:val="20"/>
        </w:rPr>
        <w:t xml:space="preserve">MENKLH. (2013). </w:t>
      </w:r>
      <w:r w:rsidR="00B81355" w:rsidRPr="00CB5FD4">
        <w:rPr>
          <w:rFonts w:ascii="Times New Roman" w:hAnsi="Times New Roman" w:cs="Times New Roman"/>
          <w:sz w:val="20"/>
          <w:szCs w:val="20"/>
        </w:rPr>
        <w:t>Regulation of the Minister of the Environment Number 6 by 2013 about Program Assessment Rating of the Company’s Performance in the Management of the Environment</w:t>
      </w:r>
      <w:r w:rsidRPr="00CB5FD4">
        <w:rPr>
          <w:rFonts w:ascii="Times New Roman" w:hAnsi="Times New Roman" w:cs="Times New Roman"/>
          <w:sz w:val="20"/>
          <w:szCs w:val="20"/>
        </w:rPr>
        <w:t>. Available from</w:t>
      </w:r>
      <w:r w:rsidR="00727B2E" w:rsidRPr="00CB5FD4">
        <w:rPr>
          <w:rFonts w:ascii="Times New Roman" w:hAnsi="Times New Roman" w:cs="Times New Roman"/>
          <w:sz w:val="20"/>
          <w:szCs w:val="20"/>
        </w:rPr>
        <w:t>:</w:t>
      </w:r>
      <w:bookmarkEnd w:id="32"/>
      <w:r w:rsidR="00727B2E" w:rsidRPr="00CB5FD4">
        <w:rPr>
          <w:rFonts w:ascii="Times New Roman" w:hAnsi="Times New Roman" w:cs="Times New Roman"/>
          <w:sz w:val="20"/>
          <w:szCs w:val="20"/>
        </w:rPr>
        <w:t xml:space="preserve"> </w:t>
      </w:r>
      <w:r w:rsidR="00663515" w:rsidRPr="00CB5FD4">
        <w:rPr>
          <w:rFonts w:ascii="Times New Roman" w:hAnsi="Times New Roman" w:cs="Times New Roman"/>
          <w:sz w:val="20"/>
          <w:szCs w:val="20"/>
        </w:rPr>
        <w:t xml:space="preserve">https://www.global-regulation.com/translation/ </w:t>
      </w:r>
      <w:r w:rsidR="00663515" w:rsidRPr="00CB5FD4">
        <w:rPr>
          <w:rFonts w:ascii="Times New Roman" w:hAnsi="Times New Roman" w:cs="Times New Roman"/>
          <w:sz w:val="20"/>
          <w:szCs w:val="20"/>
        </w:rPr>
        <w:lastRenderedPageBreak/>
        <w:t>indonesia/2963492/regulation-of-the-minister-of-the-environment-number-6-by-2013-.html</w:t>
      </w:r>
      <w:r w:rsidR="00912401" w:rsidRPr="00CB5FD4">
        <w:rPr>
          <w:rFonts w:ascii="Times New Roman" w:hAnsi="Times New Roman" w:cs="Times New Roman"/>
          <w:sz w:val="20"/>
          <w:szCs w:val="20"/>
        </w:rPr>
        <w:t xml:space="preserve"> [Accessed 12 July 2017]</w:t>
      </w:r>
    </w:p>
    <w:p w:rsidR="00C138D8" w:rsidRPr="00CB5FD4" w:rsidRDefault="00C138D8" w:rsidP="00A3138A">
      <w:pPr>
        <w:pStyle w:val="EndNoteBibliography"/>
        <w:spacing w:after="0"/>
        <w:ind w:left="284" w:hanging="284"/>
        <w:rPr>
          <w:rFonts w:ascii="Times New Roman" w:hAnsi="Times New Roman" w:cs="Times New Roman"/>
          <w:sz w:val="20"/>
          <w:szCs w:val="20"/>
        </w:rPr>
      </w:pPr>
      <w:bookmarkStart w:id="33" w:name="_ENREF_36"/>
      <w:r w:rsidRPr="00CB5FD4">
        <w:rPr>
          <w:rFonts w:ascii="Times New Roman" w:hAnsi="Times New Roman" w:cs="Times New Roman"/>
          <w:sz w:val="20"/>
          <w:szCs w:val="20"/>
        </w:rPr>
        <w:t xml:space="preserve">Naseem, M.A., Rias, S., Rehman, R.U., Ikram, A., </w:t>
      </w:r>
      <w:r w:rsidR="002B7C18" w:rsidRPr="00CB5FD4">
        <w:rPr>
          <w:rFonts w:ascii="Times New Roman" w:hAnsi="Times New Roman" w:cs="Times New Roman"/>
          <w:sz w:val="20"/>
          <w:szCs w:val="20"/>
        </w:rPr>
        <w:t xml:space="preserve">and </w:t>
      </w:r>
      <w:r w:rsidRPr="00CB5FD4">
        <w:rPr>
          <w:rFonts w:ascii="Times New Roman" w:hAnsi="Times New Roman" w:cs="Times New Roman"/>
          <w:sz w:val="20"/>
          <w:szCs w:val="20"/>
        </w:rPr>
        <w:t>Malik, F. (2017)</w:t>
      </w:r>
      <w:r w:rsidR="004C3643" w:rsidRPr="00CB5FD4">
        <w:rPr>
          <w:rFonts w:ascii="Times New Roman" w:hAnsi="Times New Roman" w:cs="Times New Roman"/>
          <w:sz w:val="20"/>
          <w:szCs w:val="20"/>
        </w:rPr>
        <w:t>.</w:t>
      </w:r>
      <w:r w:rsidRPr="00CB5FD4">
        <w:rPr>
          <w:rFonts w:ascii="Times New Roman" w:hAnsi="Times New Roman" w:cs="Times New Roman"/>
          <w:sz w:val="20"/>
          <w:szCs w:val="20"/>
        </w:rPr>
        <w:t xml:space="preserve"> Impact of </w:t>
      </w:r>
      <w:r w:rsidR="004C3643" w:rsidRPr="00CB5FD4">
        <w:rPr>
          <w:rFonts w:ascii="Times New Roman" w:hAnsi="Times New Roman" w:cs="Times New Roman"/>
          <w:sz w:val="20"/>
          <w:szCs w:val="20"/>
        </w:rPr>
        <w:t>b</w:t>
      </w:r>
      <w:r w:rsidRPr="00CB5FD4">
        <w:rPr>
          <w:rFonts w:ascii="Times New Roman" w:hAnsi="Times New Roman" w:cs="Times New Roman"/>
          <w:sz w:val="20"/>
          <w:szCs w:val="20"/>
        </w:rPr>
        <w:t xml:space="preserve">oard </w:t>
      </w:r>
      <w:r w:rsidR="004C3643" w:rsidRPr="00CB5FD4">
        <w:rPr>
          <w:rFonts w:ascii="Times New Roman" w:hAnsi="Times New Roman" w:cs="Times New Roman"/>
          <w:sz w:val="20"/>
          <w:szCs w:val="20"/>
        </w:rPr>
        <w:t>c</w:t>
      </w:r>
      <w:r w:rsidRPr="00CB5FD4">
        <w:rPr>
          <w:rFonts w:ascii="Times New Roman" w:hAnsi="Times New Roman" w:cs="Times New Roman"/>
          <w:sz w:val="20"/>
          <w:szCs w:val="20"/>
        </w:rPr>
        <w:t xml:space="preserve">haracteristics on </w:t>
      </w:r>
      <w:r w:rsidR="004C3643" w:rsidRPr="00CB5FD4">
        <w:rPr>
          <w:rFonts w:ascii="Times New Roman" w:hAnsi="Times New Roman" w:cs="Times New Roman"/>
          <w:sz w:val="20"/>
          <w:szCs w:val="20"/>
        </w:rPr>
        <w:t>c</w:t>
      </w:r>
      <w:r w:rsidRPr="00CB5FD4">
        <w:rPr>
          <w:rFonts w:ascii="Times New Roman" w:hAnsi="Times New Roman" w:cs="Times New Roman"/>
          <w:sz w:val="20"/>
          <w:szCs w:val="20"/>
        </w:rPr>
        <w:t xml:space="preserve">orporate </w:t>
      </w:r>
      <w:r w:rsidR="004C3643" w:rsidRPr="00CB5FD4">
        <w:rPr>
          <w:rFonts w:ascii="Times New Roman" w:hAnsi="Times New Roman" w:cs="Times New Roman"/>
          <w:sz w:val="20"/>
          <w:szCs w:val="20"/>
        </w:rPr>
        <w:t>s</w:t>
      </w:r>
      <w:r w:rsidRPr="00CB5FD4">
        <w:rPr>
          <w:rFonts w:ascii="Times New Roman" w:hAnsi="Times New Roman" w:cs="Times New Roman"/>
          <w:sz w:val="20"/>
          <w:szCs w:val="20"/>
        </w:rPr>
        <w:t xml:space="preserve">ocial </w:t>
      </w:r>
      <w:r w:rsidR="004C3643" w:rsidRPr="00CB5FD4">
        <w:rPr>
          <w:rFonts w:ascii="Times New Roman" w:hAnsi="Times New Roman" w:cs="Times New Roman"/>
          <w:sz w:val="20"/>
          <w:szCs w:val="20"/>
        </w:rPr>
        <w:t>r</w:t>
      </w:r>
      <w:r w:rsidRPr="00CB5FD4">
        <w:rPr>
          <w:rFonts w:ascii="Times New Roman" w:hAnsi="Times New Roman" w:cs="Times New Roman"/>
          <w:sz w:val="20"/>
          <w:szCs w:val="20"/>
        </w:rPr>
        <w:t xml:space="preserve">esponsibility </w:t>
      </w:r>
      <w:r w:rsidR="004C3643" w:rsidRPr="00CB5FD4">
        <w:rPr>
          <w:rFonts w:ascii="Times New Roman" w:hAnsi="Times New Roman" w:cs="Times New Roman"/>
          <w:sz w:val="20"/>
          <w:szCs w:val="20"/>
        </w:rPr>
        <w:t>d</w:t>
      </w:r>
      <w:r w:rsidRPr="00CB5FD4">
        <w:rPr>
          <w:rFonts w:ascii="Times New Roman" w:hAnsi="Times New Roman" w:cs="Times New Roman"/>
          <w:sz w:val="20"/>
          <w:szCs w:val="20"/>
        </w:rPr>
        <w:t xml:space="preserve">isclosure. </w:t>
      </w:r>
      <w:r w:rsidRPr="00CB5FD4">
        <w:rPr>
          <w:rFonts w:ascii="Times New Roman" w:hAnsi="Times New Roman" w:cs="Times New Roman"/>
          <w:i/>
          <w:sz w:val="20"/>
          <w:szCs w:val="20"/>
        </w:rPr>
        <w:t xml:space="preserve">Journal of Applied Business Research, </w:t>
      </w:r>
      <w:r w:rsidRPr="00CB5FD4">
        <w:rPr>
          <w:rFonts w:ascii="Times New Roman" w:hAnsi="Times New Roman" w:cs="Times New Roman"/>
          <w:sz w:val="20"/>
          <w:szCs w:val="20"/>
        </w:rPr>
        <w:t>33(4): 801-810.</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O’Donovan, G. (2002). Environmental disclosures in the annual report: Extending the applicability and predictive power of legitimacy theory. </w:t>
      </w:r>
      <w:r w:rsidRPr="00CB5FD4">
        <w:rPr>
          <w:rFonts w:ascii="Times New Roman" w:hAnsi="Times New Roman" w:cs="Times New Roman"/>
          <w:i/>
          <w:sz w:val="20"/>
          <w:szCs w:val="20"/>
        </w:rPr>
        <w:t xml:space="preserve">Accounting, Auditing </w:t>
      </w:r>
      <w:r w:rsidR="00E51230" w:rsidRPr="00CB5FD4">
        <w:rPr>
          <w:rFonts w:ascii="Times New Roman" w:hAnsi="Times New Roman" w:cs="Times New Roman"/>
          <w:i/>
          <w:sz w:val="20"/>
          <w:szCs w:val="20"/>
        </w:rPr>
        <w:t>and</w:t>
      </w:r>
      <w:r w:rsidRPr="00CB5FD4">
        <w:rPr>
          <w:rFonts w:ascii="Times New Roman" w:hAnsi="Times New Roman" w:cs="Times New Roman"/>
          <w:i/>
          <w:sz w:val="20"/>
          <w:szCs w:val="20"/>
        </w:rPr>
        <w:t xml:space="preserve"> Accountability Journal, </w:t>
      </w:r>
      <w:r w:rsidRPr="00CB5FD4">
        <w:rPr>
          <w:rFonts w:ascii="Times New Roman" w:hAnsi="Times New Roman" w:cs="Times New Roman"/>
          <w:sz w:val="20"/>
          <w:szCs w:val="20"/>
        </w:rPr>
        <w:t>15</w:t>
      </w:r>
      <w:r w:rsidR="0016065A" w:rsidRPr="00CB5FD4">
        <w:rPr>
          <w:rFonts w:ascii="Times New Roman" w:hAnsi="Times New Roman" w:cs="Times New Roman"/>
          <w:sz w:val="20"/>
          <w:szCs w:val="20"/>
        </w:rPr>
        <w:t>(3):</w:t>
      </w:r>
      <w:r w:rsidRPr="00CB5FD4">
        <w:rPr>
          <w:rFonts w:ascii="Times New Roman" w:hAnsi="Times New Roman" w:cs="Times New Roman"/>
          <w:sz w:val="20"/>
          <w:szCs w:val="20"/>
        </w:rPr>
        <w:t xml:space="preserve"> 344-371.</w:t>
      </w:r>
      <w:bookmarkEnd w:id="33"/>
    </w:p>
    <w:p w:rsidR="00F22990" w:rsidRPr="00CB5FD4" w:rsidRDefault="00EC2F26" w:rsidP="00A3138A">
      <w:pPr>
        <w:pStyle w:val="EndNoteBibliography"/>
        <w:spacing w:after="0"/>
        <w:ind w:left="284" w:hanging="284"/>
        <w:rPr>
          <w:rFonts w:ascii="Times New Roman" w:hAnsi="Times New Roman" w:cs="Times New Roman"/>
          <w:sz w:val="20"/>
          <w:szCs w:val="20"/>
        </w:rPr>
      </w:pPr>
      <w:bookmarkStart w:id="34" w:name="_ENREF_37"/>
      <w:r w:rsidRPr="00CB5FD4">
        <w:rPr>
          <w:rFonts w:ascii="Times New Roman" w:hAnsi="Times New Roman" w:cs="Times New Roman"/>
          <w:sz w:val="20"/>
          <w:szCs w:val="20"/>
        </w:rPr>
        <w:t>Odhiambo, N.</w:t>
      </w:r>
      <w:r w:rsidR="00F22990" w:rsidRPr="00CB5FD4">
        <w:rPr>
          <w:rFonts w:ascii="Times New Roman" w:hAnsi="Times New Roman" w:cs="Times New Roman"/>
          <w:sz w:val="20"/>
          <w:szCs w:val="20"/>
        </w:rPr>
        <w:t xml:space="preserve">M. (2012). Economic growth and carbon emissions In South Africa: An empirical investigation. </w:t>
      </w:r>
      <w:r w:rsidR="00F22990" w:rsidRPr="00CB5FD4">
        <w:rPr>
          <w:rFonts w:ascii="Times New Roman" w:hAnsi="Times New Roman" w:cs="Times New Roman"/>
          <w:i/>
          <w:sz w:val="20"/>
          <w:szCs w:val="20"/>
        </w:rPr>
        <w:t xml:space="preserve">Journal of Applied Business Research, </w:t>
      </w:r>
      <w:r w:rsidR="00F22990" w:rsidRPr="00CB5FD4">
        <w:rPr>
          <w:rFonts w:ascii="Times New Roman" w:hAnsi="Times New Roman" w:cs="Times New Roman"/>
          <w:iCs/>
          <w:sz w:val="20"/>
          <w:szCs w:val="20"/>
        </w:rPr>
        <w:t>28</w:t>
      </w:r>
      <w:r w:rsidR="0016065A" w:rsidRPr="00CB5FD4">
        <w:rPr>
          <w:rFonts w:ascii="Times New Roman" w:hAnsi="Times New Roman" w:cs="Times New Roman"/>
          <w:iCs/>
          <w:sz w:val="20"/>
          <w:szCs w:val="20"/>
        </w:rPr>
        <w:t>(1): 37-46.</w:t>
      </w:r>
      <w:r w:rsidR="00F22990" w:rsidRPr="00CB5FD4">
        <w:rPr>
          <w:rFonts w:ascii="Times New Roman" w:hAnsi="Times New Roman" w:cs="Times New Roman"/>
          <w:sz w:val="20"/>
          <w:szCs w:val="20"/>
        </w:rPr>
        <w:t xml:space="preserve"> </w:t>
      </w:r>
      <w:bookmarkEnd w:id="34"/>
    </w:p>
    <w:p w:rsidR="00F22990" w:rsidRPr="00CB5FD4" w:rsidRDefault="00EC2F26" w:rsidP="00A3138A">
      <w:pPr>
        <w:pStyle w:val="EndNoteBibliography"/>
        <w:spacing w:after="0"/>
        <w:ind w:left="284" w:hanging="284"/>
        <w:rPr>
          <w:rFonts w:ascii="Times New Roman" w:hAnsi="Times New Roman" w:cs="Times New Roman"/>
          <w:sz w:val="20"/>
          <w:szCs w:val="20"/>
        </w:rPr>
      </w:pPr>
      <w:bookmarkStart w:id="35" w:name="_ENREF_38"/>
      <w:r w:rsidRPr="00CB5FD4">
        <w:rPr>
          <w:rFonts w:ascii="Times New Roman" w:hAnsi="Times New Roman" w:cs="Times New Roman"/>
          <w:sz w:val="20"/>
          <w:szCs w:val="20"/>
        </w:rPr>
        <w:t>Oliver, J.G.</w:t>
      </w:r>
      <w:r w:rsidR="00F22990" w:rsidRPr="00CB5FD4">
        <w:rPr>
          <w:rFonts w:ascii="Times New Roman" w:hAnsi="Times New Roman" w:cs="Times New Roman"/>
          <w:sz w:val="20"/>
          <w:szCs w:val="20"/>
        </w:rPr>
        <w:t xml:space="preserve">J., Janssens-Maenhout, G., Muntean, M.,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Peters, J.</w:t>
      </w:r>
      <w:r w:rsidR="00F22990" w:rsidRPr="00CB5FD4">
        <w:rPr>
          <w:rFonts w:ascii="Times New Roman" w:hAnsi="Times New Roman" w:cs="Times New Roman"/>
          <w:sz w:val="20"/>
          <w:szCs w:val="20"/>
        </w:rPr>
        <w:t xml:space="preserve">A.H.W. (2013). Trends in </w:t>
      </w:r>
      <w:r w:rsidR="004C3643" w:rsidRPr="00CB5FD4">
        <w:rPr>
          <w:rFonts w:ascii="Times New Roman" w:hAnsi="Times New Roman" w:cs="Times New Roman"/>
          <w:sz w:val="20"/>
          <w:szCs w:val="20"/>
        </w:rPr>
        <w:t>g</w:t>
      </w:r>
      <w:r w:rsidR="00F22990" w:rsidRPr="00CB5FD4">
        <w:rPr>
          <w:rFonts w:ascii="Times New Roman" w:hAnsi="Times New Roman" w:cs="Times New Roman"/>
          <w:sz w:val="20"/>
          <w:szCs w:val="20"/>
        </w:rPr>
        <w:t xml:space="preserve">lobal CO2 </w:t>
      </w:r>
      <w:r w:rsidR="004C3643" w:rsidRPr="00CB5FD4">
        <w:rPr>
          <w:rFonts w:ascii="Times New Roman" w:hAnsi="Times New Roman" w:cs="Times New Roman"/>
          <w:sz w:val="20"/>
          <w:szCs w:val="20"/>
        </w:rPr>
        <w:t>e</w:t>
      </w:r>
      <w:r w:rsidR="00F22990" w:rsidRPr="00CB5FD4">
        <w:rPr>
          <w:rFonts w:ascii="Times New Roman" w:hAnsi="Times New Roman" w:cs="Times New Roman"/>
          <w:sz w:val="20"/>
          <w:szCs w:val="20"/>
        </w:rPr>
        <w:t xml:space="preserve">missions: 2013 </w:t>
      </w:r>
      <w:r w:rsidR="008431FC" w:rsidRPr="00CB5FD4">
        <w:rPr>
          <w:rFonts w:ascii="Times New Roman" w:hAnsi="Times New Roman" w:cs="Times New Roman"/>
          <w:sz w:val="20"/>
          <w:szCs w:val="20"/>
        </w:rPr>
        <w:t>r</w:t>
      </w:r>
      <w:r w:rsidR="00F22990" w:rsidRPr="00CB5FD4">
        <w:rPr>
          <w:rFonts w:ascii="Times New Roman" w:hAnsi="Times New Roman" w:cs="Times New Roman"/>
          <w:sz w:val="20"/>
          <w:szCs w:val="20"/>
        </w:rPr>
        <w:t>eport. The Hague: PBL Netherlands Environmental Assessment Agency.</w:t>
      </w:r>
      <w:bookmarkEnd w:id="35"/>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36" w:name="_ENREF_39"/>
      <w:r w:rsidRPr="00CB5FD4">
        <w:rPr>
          <w:rFonts w:ascii="Times New Roman" w:hAnsi="Times New Roman" w:cs="Times New Roman"/>
          <w:sz w:val="20"/>
          <w:szCs w:val="20"/>
        </w:rPr>
        <w:t xml:space="preserve">Rankin, M., Windsor, C., </w:t>
      </w:r>
      <w:r w:rsidR="007D2DBF" w:rsidRPr="00CB5FD4">
        <w:rPr>
          <w:rFonts w:ascii="Times New Roman" w:hAnsi="Times New Roman" w:cs="Times New Roman"/>
          <w:sz w:val="20"/>
          <w:szCs w:val="20"/>
        </w:rPr>
        <w:t>and</w:t>
      </w:r>
      <w:r w:rsidRPr="00CB5FD4">
        <w:rPr>
          <w:rFonts w:ascii="Times New Roman" w:hAnsi="Times New Roman" w:cs="Times New Roman"/>
          <w:sz w:val="20"/>
          <w:szCs w:val="20"/>
        </w:rPr>
        <w:t xml:space="preserve"> Wahyuni, D. (2011). An investigation of voluntary corporate greenhouse gas emissions reporting in a market governance system: Australian evidence. </w:t>
      </w:r>
      <w:r w:rsidRPr="00CB5FD4">
        <w:rPr>
          <w:rFonts w:ascii="Times New Roman" w:hAnsi="Times New Roman" w:cs="Times New Roman"/>
          <w:i/>
          <w:sz w:val="20"/>
          <w:szCs w:val="20"/>
        </w:rPr>
        <w:t xml:space="preserve">Accounting, Auditing </w:t>
      </w:r>
      <w:r w:rsidR="00E51230" w:rsidRPr="00CB5FD4">
        <w:rPr>
          <w:rFonts w:ascii="Times New Roman" w:hAnsi="Times New Roman" w:cs="Times New Roman"/>
          <w:i/>
          <w:sz w:val="20"/>
          <w:szCs w:val="20"/>
        </w:rPr>
        <w:t>and</w:t>
      </w:r>
      <w:r w:rsidRPr="00CB5FD4">
        <w:rPr>
          <w:rFonts w:ascii="Times New Roman" w:hAnsi="Times New Roman" w:cs="Times New Roman"/>
          <w:i/>
          <w:sz w:val="20"/>
          <w:szCs w:val="20"/>
        </w:rPr>
        <w:t xml:space="preserve"> Accountability Journal, </w:t>
      </w:r>
      <w:r w:rsidRPr="00CB5FD4">
        <w:rPr>
          <w:rFonts w:ascii="Times New Roman" w:hAnsi="Times New Roman" w:cs="Times New Roman"/>
          <w:sz w:val="20"/>
          <w:szCs w:val="20"/>
        </w:rPr>
        <w:t>24</w:t>
      </w:r>
      <w:r w:rsidR="0016065A" w:rsidRPr="00CB5FD4">
        <w:rPr>
          <w:rFonts w:ascii="Times New Roman" w:hAnsi="Times New Roman" w:cs="Times New Roman"/>
          <w:sz w:val="20"/>
          <w:szCs w:val="20"/>
        </w:rPr>
        <w:t>(8):</w:t>
      </w:r>
      <w:r w:rsidRPr="00CB5FD4">
        <w:rPr>
          <w:rFonts w:ascii="Times New Roman" w:hAnsi="Times New Roman" w:cs="Times New Roman"/>
          <w:sz w:val="20"/>
          <w:szCs w:val="20"/>
        </w:rPr>
        <w:t xml:space="preserve"> 1037-1070. </w:t>
      </w:r>
      <w:bookmarkEnd w:id="36"/>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37" w:name="_ENREF_41"/>
      <w:r w:rsidRPr="00CB5FD4">
        <w:rPr>
          <w:rFonts w:ascii="Times New Roman" w:hAnsi="Times New Roman" w:cs="Times New Roman"/>
          <w:sz w:val="20"/>
          <w:szCs w:val="20"/>
        </w:rPr>
        <w:t xml:space="preserve">Saka, C.,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Oshika, T. (2014). Disclosure effects, carbon emissions and corporate value. </w:t>
      </w:r>
      <w:r w:rsidRPr="00CB5FD4">
        <w:rPr>
          <w:rFonts w:ascii="Times New Roman" w:hAnsi="Times New Roman" w:cs="Times New Roman"/>
          <w:i/>
          <w:sz w:val="20"/>
          <w:szCs w:val="20"/>
        </w:rPr>
        <w:t xml:space="preserve">Sustainability Accounting, Management and Policy Journal, </w:t>
      </w:r>
      <w:r w:rsidRPr="00CB5FD4">
        <w:rPr>
          <w:rFonts w:ascii="Times New Roman" w:hAnsi="Times New Roman" w:cs="Times New Roman"/>
          <w:sz w:val="20"/>
          <w:szCs w:val="20"/>
        </w:rPr>
        <w:t>5</w:t>
      </w:r>
      <w:r w:rsidR="0016065A" w:rsidRPr="00CB5FD4">
        <w:rPr>
          <w:rFonts w:ascii="Times New Roman" w:hAnsi="Times New Roman" w:cs="Times New Roman"/>
          <w:sz w:val="20"/>
          <w:szCs w:val="20"/>
        </w:rPr>
        <w:t>(1):</w:t>
      </w:r>
      <w:r w:rsidRPr="00CB5FD4">
        <w:rPr>
          <w:rFonts w:ascii="Times New Roman" w:hAnsi="Times New Roman" w:cs="Times New Roman"/>
          <w:sz w:val="20"/>
          <w:szCs w:val="20"/>
        </w:rPr>
        <w:t xml:space="preserve"> 22-45. </w:t>
      </w:r>
      <w:bookmarkEnd w:id="37"/>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38" w:name="_ENREF_42"/>
      <w:r w:rsidRPr="00CB5FD4">
        <w:rPr>
          <w:rFonts w:ascii="Times New Roman" w:hAnsi="Times New Roman" w:cs="Times New Roman"/>
          <w:sz w:val="20"/>
          <w:szCs w:val="20"/>
        </w:rPr>
        <w:t xml:space="preserve">Saragih, F.D., Nugroho, B.Y.,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Eko, U. (2013). Corporate </w:t>
      </w:r>
      <w:r w:rsidR="008431FC" w:rsidRPr="00CB5FD4">
        <w:rPr>
          <w:rFonts w:ascii="Times New Roman" w:hAnsi="Times New Roman" w:cs="Times New Roman"/>
          <w:sz w:val="20"/>
          <w:szCs w:val="20"/>
        </w:rPr>
        <w:t>g</w:t>
      </w:r>
      <w:r w:rsidRPr="00CB5FD4">
        <w:rPr>
          <w:rFonts w:ascii="Times New Roman" w:hAnsi="Times New Roman" w:cs="Times New Roman"/>
          <w:sz w:val="20"/>
          <w:szCs w:val="20"/>
        </w:rPr>
        <w:t xml:space="preserve">overnance </w:t>
      </w:r>
      <w:r w:rsidR="008431FC" w:rsidRPr="00CB5FD4">
        <w:rPr>
          <w:rFonts w:ascii="Times New Roman" w:hAnsi="Times New Roman" w:cs="Times New Roman"/>
          <w:sz w:val="20"/>
          <w:szCs w:val="20"/>
        </w:rPr>
        <w:t>c</w:t>
      </w:r>
      <w:r w:rsidRPr="00CB5FD4">
        <w:rPr>
          <w:rFonts w:ascii="Times New Roman" w:hAnsi="Times New Roman" w:cs="Times New Roman"/>
          <w:sz w:val="20"/>
          <w:szCs w:val="20"/>
        </w:rPr>
        <w:t xml:space="preserve">haracteristics and </w:t>
      </w:r>
      <w:r w:rsidR="008431FC" w:rsidRPr="00CB5FD4">
        <w:rPr>
          <w:rFonts w:ascii="Times New Roman" w:hAnsi="Times New Roman" w:cs="Times New Roman"/>
          <w:sz w:val="20"/>
          <w:szCs w:val="20"/>
        </w:rPr>
        <w:t>c</w:t>
      </w:r>
      <w:r w:rsidRPr="00CB5FD4">
        <w:rPr>
          <w:rFonts w:ascii="Times New Roman" w:hAnsi="Times New Roman" w:cs="Times New Roman"/>
          <w:sz w:val="20"/>
          <w:szCs w:val="20"/>
        </w:rPr>
        <w:t xml:space="preserve">ompany </w:t>
      </w:r>
      <w:r w:rsidR="008431FC" w:rsidRPr="00CB5FD4">
        <w:rPr>
          <w:rFonts w:ascii="Times New Roman" w:hAnsi="Times New Roman" w:cs="Times New Roman"/>
          <w:sz w:val="20"/>
          <w:szCs w:val="20"/>
        </w:rPr>
        <w:t>p</w:t>
      </w:r>
      <w:r w:rsidRPr="00CB5FD4">
        <w:rPr>
          <w:rFonts w:ascii="Times New Roman" w:hAnsi="Times New Roman" w:cs="Times New Roman"/>
          <w:sz w:val="20"/>
          <w:szCs w:val="20"/>
        </w:rPr>
        <w:t xml:space="preserve">erformance. </w:t>
      </w:r>
      <w:r w:rsidRPr="00CB5FD4">
        <w:rPr>
          <w:rFonts w:ascii="Times New Roman" w:hAnsi="Times New Roman" w:cs="Times New Roman"/>
          <w:i/>
          <w:sz w:val="20"/>
          <w:szCs w:val="20"/>
        </w:rPr>
        <w:t xml:space="preserve">Bisnis </w:t>
      </w:r>
      <w:r w:rsidR="00E51230" w:rsidRPr="00CB5FD4">
        <w:rPr>
          <w:rFonts w:ascii="Times New Roman" w:hAnsi="Times New Roman" w:cs="Times New Roman"/>
          <w:i/>
          <w:sz w:val="20"/>
          <w:szCs w:val="20"/>
        </w:rPr>
        <w:t>and</w:t>
      </w:r>
      <w:r w:rsidRPr="00CB5FD4">
        <w:rPr>
          <w:rFonts w:ascii="Times New Roman" w:hAnsi="Times New Roman" w:cs="Times New Roman"/>
          <w:i/>
          <w:sz w:val="20"/>
          <w:szCs w:val="20"/>
        </w:rPr>
        <w:t xml:space="preserve"> Birokrasi Journal, </w:t>
      </w:r>
      <w:r w:rsidRPr="00CB5FD4">
        <w:rPr>
          <w:rFonts w:ascii="Times New Roman" w:hAnsi="Times New Roman" w:cs="Times New Roman"/>
          <w:sz w:val="20"/>
          <w:szCs w:val="20"/>
        </w:rPr>
        <w:t>19(1)</w:t>
      </w:r>
      <w:r w:rsidR="0016065A" w:rsidRPr="00CB5FD4">
        <w:rPr>
          <w:rFonts w:ascii="Times New Roman" w:hAnsi="Times New Roman" w:cs="Times New Roman"/>
          <w:sz w:val="20"/>
          <w:szCs w:val="20"/>
        </w:rPr>
        <w:t>:</w:t>
      </w:r>
      <w:r w:rsidRPr="00CB5FD4">
        <w:rPr>
          <w:rFonts w:ascii="Times New Roman" w:hAnsi="Times New Roman" w:cs="Times New Roman"/>
          <w:sz w:val="20"/>
          <w:szCs w:val="20"/>
        </w:rPr>
        <w:t xml:space="preserve"> 45-54. </w:t>
      </w:r>
      <w:bookmarkEnd w:id="38"/>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39" w:name="_ENREF_44"/>
      <w:r w:rsidRPr="00CB5FD4">
        <w:rPr>
          <w:rFonts w:ascii="Times New Roman" w:hAnsi="Times New Roman" w:cs="Times New Roman"/>
          <w:sz w:val="20"/>
          <w:szCs w:val="20"/>
        </w:rPr>
        <w:t xml:space="preserve">Shuetrim, G., Lowe, P., </w:t>
      </w:r>
      <w:r w:rsidR="00EC2F26" w:rsidRPr="00CB5FD4">
        <w:rPr>
          <w:rFonts w:ascii="Times New Roman" w:hAnsi="Times New Roman" w:cs="Times New Roman"/>
          <w:sz w:val="20"/>
          <w:szCs w:val="20"/>
        </w:rPr>
        <w:t>and</w:t>
      </w:r>
      <w:r w:rsidRPr="00CB5FD4">
        <w:rPr>
          <w:rFonts w:ascii="Times New Roman" w:hAnsi="Times New Roman" w:cs="Times New Roman"/>
          <w:sz w:val="20"/>
          <w:szCs w:val="20"/>
        </w:rPr>
        <w:t xml:space="preserve"> Morling, S. (1993). </w:t>
      </w:r>
      <w:r w:rsidRPr="00CB5FD4">
        <w:rPr>
          <w:rFonts w:ascii="Times New Roman" w:hAnsi="Times New Roman" w:cs="Times New Roman"/>
          <w:iCs/>
          <w:sz w:val="20"/>
          <w:szCs w:val="20"/>
        </w:rPr>
        <w:t>The determinants of corporate leverage:</w:t>
      </w:r>
      <w:r w:rsidRPr="00CB5FD4">
        <w:rPr>
          <w:rFonts w:ascii="Times New Roman" w:hAnsi="Times New Roman" w:cs="Times New Roman"/>
          <w:i/>
          <w:sz w:val="20"/>
          <w:szCs w:val="20"/>
        </w:rPr>
        <w:t xml:space="preserve"> </w:t>
      </w:r>
      <w:r w:rsidRPr="00CB5FD4">
        <w:rPr>
          <w:rFonts w:ascii="Times New Roman" w:hAnsi="Times New Roman" w:cs="Times New Roman"/>
          <w:iCs/>
          <w:sz w:val="20"/>
          <w:szCs w:val="20"/>
        </w:rPr>
        <w:t>A panel data analysis</w:t>
      </w:r>
      <w:r w:rsidR="00EE69E6" w:rsidRPr="00CB5FD4">
        <w:rPr>
          <w:rFonts w:ascii="Times New Roman" w:hAnsi="Times New Roman" w:cs="Times New Roman"/>
          <w:iCs/>
          <w:sz w:val="20"/>
          <w:szCs w:val="20"/>
        </w:rPr>
        <w:t>.</w:t>
      </w:r>
      <w:r w:rsidRPr="00CB5FD4">
        <w:rPr>
          <w:rFonts w:ascii="Times New Roman" w:hAnsi="Times New Roman" w:cs="Times New Roman"/>
          <w:iCs/>
          <w:sz w:val="20"/>
          <w:szCs w:val="20"/>
        </w:rPr>
        <w:t xml:space="preserve"> </w:t>
      </w:r>
      <w:r w:rsidR="00EE69E6" w:rsidRPr="00CB5FD4">
        <w:rPr>
          <w:rFonts w:ascii="Times New Roman" w:hAnsi="Times New Roman" w:cs="Times New Roman"/>
          <w:iCs/>
          <w:sz w:val="20"/>
          <w:szCs w:val="20"/>
        </w:rPr>
        <w:t xml:space="preserve">Canbera: </w:t>
      </w:r>
      <w:r w:rsidRPr="00CB5FD4">
        <w:rPr>
          <w:rFonts w:ascii="Times New Roman" w:hAnsi="Times New Roman" w:cs="Times New Roman"/>
          <w:sz w:val="20"/>
          <w:szCs w:val="20"/>
        </w:rPr>
        <w:t>Reserve Bank of Australia.</w:t>
      </w:r>
      <w:bookmarkEnd w:id="39"/>
    </w:p>
    <w:p w:rsidR="00E97628" w:rsidRPr="00CB5FD4" w:rsidRDefault="00F22990" w:rsidP="00A3138A">
      <w:pPr>
        <w:pStyle w:val="EndNoteBibliography"/>
        <w:spacing w:after="0"/>
        <w:ind w:left="284" w:hanging="284"/>
        <w:rPr>
          <w:rFonts w:ascii="Times New Roman" w:hAnsi="Times New Roman" w:cs="Times New Roman"/>
          <w:iCs/>
          <w:sz w:val="20"/>
          <w:szCs w:val="20"/>
        </w:rPr>
      </w:pPr>
      <w:bookmarkStart w:id="40" w:name="_ENREF_46"/>
      <w:r w:rsidRPr="00CB5FD4">
        <w:rPr>
          <w:rFonts w:ascii="Times New Roman" w:hAnsi="Times New Roman" w:cs="Times New Roman"/>
          <w:sz w:val="20"/>
          <w:szCs w:val="20"/>
        </w:rPr>
        <w:t xml:space="preserve">Solomon, S., Plattner, G.K., Knutti, R., </w:t>
      </w:r>
      <w:r w:rsidR="00EC2F26" w:rsidRPr="00CB5FD4">
        <w:rPr>
          <w:rFonts w:ascii="Times New Roman" w:hAnsi="Times New Roman" w:cs="Times New Roman"/>
          <w:sz w:val="20"/>
          <w:szCs w:val="20"/>
        </w:rPr>
        <w:t>and</w:t>
      </w:r>
      <w:r w:rsidRPr="00CB5FD4">
        <w:rPr>
          <w:rFonts w:ascii="Times New Roman" w:hAnsi="Times New Roman" w:cs="Times New Roman"/>
          <w:sz w:val="20"/>
          <w:szCs w:val="20"/>
        </w:rPr>
        <w:t xml:space="preserve"> Friedlingstein, P. (2009). Irreversible climate change due to carbon dioxide emissions. </w:t>
      </w:r>
      <w:r w:rsidRPr="00CB5FD4">
        <w:rPr>
          <w:rFonts w:ascii="Times New Roman" w:hAnsi="Times New Roman" w:cs="Times New Roman"/>
          <w:i/>
          <w:sz w:val="20"/>
          <w:szCs w:val="20"/>
        </w:rPr>
        <w:t>Proceedings of the National Academy of Science,</w:t>
      </w:r>
      <w:r w:rsidR="00EE69E6" w:rsidRPr="00CB5FD4">
        <w:rPr>
          <w:rFonts w:ascii="Times New Roman" w:hAnsi="Times New Roman" w:cs="Times New Roman"/>
          <w:iCs/>
          <w:sz w:val="20"/>
          <w:szCs w:val="20"/>
        </w:rPr>
        <w:t>106(6)</w:t>
      </w:r>
      <w:r w:rsidR="0016065A" w:rsidRPr="00CB5FD4">
        <w:rPr>
          <w:rFonts w:ascii="Times New Roman" w:hAnsi="Times New Roman" w:cs="Times New Roman"/>
          <w:iCs/>
          <w:sz w:val="20"/>
          <w:szCs w:val="20"/>
        </w:rPr>
        <w:t xml:space="preserve">: </w:t>
      </w:r>
      <w:r w:rsidRPr="00CB5FD4">
        <w:rPr>
          <w:rFonts w:ascii="Times New Roman" w:hAnsi="Times New Roman" w:cs="Times New Roman"/>
          <w:iCs/>
          <w:sz w:val="20"/>
          <w:szCs w:val="20"/>
        </w:rPr>
        <w:t>1704-1709.</w:t>
      </w:r>
      <w:bookmarkEnd w:id="40"/>
    </w:p>
    <w:p w:rsidR="00E97628" w:rsidRPr="00CB5FD4" w:rsidRDefault="00E97628" w:rsidP="00A3138A">
      <w:pPr>
        <w:pStyle w:val="EndNoteBibliography"/>
        <w:spacing w:after="0"/>
        <w:ind w:left="284" w:hanging="284"/>
        <w:rPr>
          <w:rFonts w:ascii="Times New Roman" w:hAnsi="Times New Roman" w:cs="Times New Roman"/>
          <w:sz w:val="20"/>
          <w:szCs w:val="20"/>
          <w:lang w:eastAsia="en-AU"/>
        </w:rPr>
      </w:pPr>
      <w:r w:rsidRPr="00CB5FD4">
        <w:rPr>
          <w:rFonts w:ascii="Times New Roman" w:hAnsi="Times New Roman" w:cs="Times New Roman"/>
          <w:sz w:val="20"/>
          <w:szCs w:val="20"/>
          <w:lang w:eastAsia="en-AU"/>
        </w:rPr>
        <w:t xml:space="preserve">Supiyanto, C. L. and Pratiwi, I. R. (2017). </w:t>
      </w:r>
      <w:r w:rsidRPr="00CB5FD4">
        <w:rPr>
          <w:rFonts w:ascii="Times New Roman" w:hAnsi="Times New Roman" w:cs="Times New Roman"/>
          <w:iCs/>
          <w:sz w:val="20"/>
          <w:szCs w:val="20"/>
          <w:lang w:eastAsia="en-AU"/>
        </w:rPr>
        <w:t>The Influence of Company Characteristics and Corporate Governance Toward Environmental Disclosures and The Effects on Environmental Performance.</w:t>
      </w:r>
      <w:r w:rsidRPr="00CB5FD4">
        <w:rPr>
          <w:rFonts w:ascii="Times New Roman" w:hAnsi="Times New Roman" w:cs="Times New Roman"/>
          <w:sz w:val="20"/>
          <w:szCs w:val="20"/>
          <w:lang w:eastAsia="en-AU"/>
        </w:rPr>
        <w:t xml:space="preserve"> Proceedings of the 7th International Conference of the Japanese Accounting Review, Kobe.</w:t>
      </w:r>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41" w:name="_ENREF_48"/>
      <w:r w:rsidRPr="00CB5FD4">
        <w:rPr>
          <w:rFonts w:ascii="Times New Roman" w:hAnsi="Times New Roman" w:cs="Times New Roman"/>
          <w:sz w:val="20"/>
          <w:szCs w:val="20"/>
        </w:rPr>
        <w:t xml:space="preserve">Trireksani, T.,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Djajadikerta, H.G. (2016). Corporate </w:t>
      </w:r>
      <w:r w:rsidR="008431FC" w:rsidRPr="00CB5FD4">
        <w:rPr>
          <w:rFonts w:ascii="Times New Roman" w:hAnsi="Times New Roman" w:cs="Times New Roman"/>
          <w:sz w:val="20"/>
          <w:szCs w:val="20"/>
        </w:rPr>
        <w:t>g</w:t>
      </w:r>
      <w:r w:rsidRPr="00CB5FD4">
        <w:rPr>
          <w:rFonts w:ascii="Times New Roman" w:hAnsi="Times New Roman" w:cs="Times New Roman"/>
          <w:sz w:val="20"/>
          <w:szCs w:val="20"/>
        </w:rPr>
        <w:t xml:space="preserve">overnance and </w:t>
      </w:r>
      <w:r w:rsidR="008431FC" w:rsidRPr="00CB5FD4">
        <w:rPr>
          <w:rFonts w:ascii="Times New Roman" w:hAnsi="Times New Roman" w:cs="Times New Roman"/>
          <w:sz w:val="20"/>
          <w:szCs w:val="20"/>
        </w:rPr>
        <w:t>e</w:t>
      </w:r>
      <w:r w:rsidRPr="00CB5FD4">
        <w:rPr>
          <w:rFonts w:ascii="Times New Roman" w:hAnsi="Times New Roman" w:cs="Times New Roman"/>
          <w:sz w:val="20"/>
          <w:szCs w:val="20"/>
        </w:rPr>
        <w:t xml:space="preserve">nvironmental </w:t>
      </w:r>
      <w:r w:rsidR="008431FC" w:rsidRPr="00CB5FD4">
        <w:rPr>
          <w:rFonts w:ascii="Times New Roman" w:hAnsi="Times New Roman" w:cs="Times New Roman"/>
          <w:sz w:val="20"/>
          <w:szCs w:val="20"/>
        </w:rPr>
        <w:t>d</w:t>
      </w:r>
      <w:r w:rsidRPr="00CB5FD4">
        <w:rPr>
          <w:rFonts w:ascii="Times New Roman" w:hAnsi="Times New Roman" w:cs="Times New Roman"/>
          <w:sz w:val="20"/>
          <w:szCs w:val="20"/>
        </w:rPr>
        <w:t xml:space="preserve">isclosure in the Indonesian </w:t>
      </w:r>
      <w:r w:rsidR="008431FC" w:rsidRPr="00CB5FD4">
        <w:rPr>
          <w:rFonts w:ascii="Times New Roman" w:hAnsi="Times New Roman" w:cs="Times New Roman"/>
          <w:sz w:val="20"/>
          <w:szCs w:val="20"/>
        </w:rPr>
        <w:t>m</w:t>
      </w:r>
      <w:r w:rsidRPr="00CB5FD4">
        <w:rPr>
          <w:rFonts w:ascii="Times New Roman" w:hAnsi="Times New Roman" w:cs="Times New Roman"/>
          <w:sz w:val="20"/>
          <w:szCs w:val="20"/>
        </w:rPr>
        <w:t xml:space="preserve">ining </w:t>
      </w:r>
      <w:r w:rsidR="008431FC" w:rsidRPr="00CB5FD4">
        <w:rPr>
          <w:rFonts w:ascii="Times New Roman" w:hAnsi="Times New Roman" w:cs="Times New Roman"/>
          <w:sz w:val="20"/>
          <w:szCs w:val="20"/>
        </w:rPr>
        <w:t>i</w:t>
      </w:r>
      <w:r w:rsidRPr="00CB5FD4">
        <w:rPr>
          <w:rFonts w:ascii="Times New Roman" w:hAnsi="Times New Roman" w:cs="Times New Roman"/>
          <w:sz w:val="20"/>
          <w:szCs w:val="20"/>
        </w:rPr>
        <w:t xml:space="preserve">ndustry. </w:t>
      </w:r>
      <w:r w:rsidRPr="00CB5FD4">
        <w:rPr>
          <w:rFonts w:ascii="Times New Roman" w:hAnsi="Times New Roman" w:cs="Times New Roman"/>
          <w:i/>
          <w:sz w:val="20"/>
          <w:szCs w:val="20"/>
        </w:rPr>
        <w:t xml:space="preserve">Australasian Accounting, Business and Finance Journal, </w:t>
      </w:r>
      <w:r w:rsidRPr="00CB5FD4">
        <w:rPr>
          <w:rFonts w:ascii="Times New Roman" w:hAnsi="Times New Roman" w:cs="Times New Roman"/>
          <w:sz w:val="20"/>
          <w:szCs w:val="20"/>
        </w:rPr>
        <w:t>10(1)</w:t>
      </w:r>
      <w:r w:rsidR="00663515" w:rsidRPr="00CB5FD4">
        <w:rPr>
          <w:rFonts w:ascii="Times New Roman" w:hAnsi="Times New Roman" w:cs="Times New Roman"/>
          <w:sz w:val="20"/>
          <w:szCs w:val="20"/>
        </w:rPr>
        <w:t>:</w:t>
      </w:r>
      <w:r w:rsidRPr="00CB5FD4">
        <w:rPr>
          <w:rFonts w:ascii="Times New Roman" w:hAnsi="Times New Roman" w:cs="Times New Roman"/>
          <w:sz w:val="20"/>
          <w:szCs w:val="20"/>
        </w:rPr>
        <w:t xml:space="preserve"> 18-28. </w:t>
      </w:r>
      <w:bookmarkEnd w:id="41"/>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42" w:name="_ENREF_50"/>
      <w:r w:rsidRPr="00CB5FD4">
        <w:rPr>
          <w:rFonts w:ascii="Times New Roman" w:hAnsi="Times New Roman" w:cs="Times New Roman"/>
          <w:sz w:val="20"/>
          <w:szCs w:val="20"/>
        </w:rPr>
        <w:t>Wolf, E</w:t>
      </w:r>
      <w:r w:rsidR="00EC2F26" w:rsidRPr="00CB5FD4">
        <w:rPr>
          <w:rFonts w:ascii="Times New Roman" w:hAnsi="Times New Roman" w:cs="Times New Roman"/>
          <w:sz w:val="20"/>
          <w:szCs w:val="20"/>
        </w:rPr>
        <w:t>.</w:t>
      </w:r>
      <w:r w:rsidRPr="00CB5FD4">
        <w:rPr>
          <w:rFonts w:ascii="Times New Roman" w:hAnsi="Times New Roman" w:cs="Times New Roman"/>
          <w:sz w:val="20"/>
          <w:szCs w:val="20"/>
        </w:rPr>
        <w:t xml:space="preserve">J., Harrington, K.M., Clark, S.L., </w:t>
      </w:r>
      <w:r w:rsidR="0064375D" w:rsidRPr="00CB5FD4">
        <w:rPr>
          <w:rFonts w:ascii="Times New Roman" w:hAnsi="Times New Roman" w:cs="Times New Roman"/>
          <w:sz w:val="20"/>
          <w:szCs w:val="20"/>
        </w:rPr>
        <w:t>and</w:t>
      </w:r>
      <w:r w:rsidRPr="00CB5FD4">
        <w:rPr>
          <w:rFonts w:ascii="Times New Roman" w:hAnsi="Times New Roman" w:cs="Times New Roman"/>
          <w:sz w:val="20"/>
          <w:szCs w:val="20"/>
        </w:rPr>
        <w:t xml:space="preserve"> Miller, M.W. (2013). Sample size requirements for structural equation models an evaluation of power, bias, and solution propriety. </w:t>
      </w:r>
      <w:r w:rsidRPr="00CB5FD4">
        <w:rPr>
          <w:rFonts w:ascii="Times New Roman" w:hAnsi="Times New Roman" w:cs="Times New Roman"/>
          <w:i/>
          <w:sz w:val="20"/>
          <w:szCs w:val="20"/>
        </w:rPr>
        <w:t>Educational and Psychological Measurement,</w:t>
      </w:r>
      <w:r w:rsidRPr="00CB5FD4">
        <w:rPr>
          <w:rFonts w:ascii="Times New Roman" w:hAnsi="Times New Roman" w:cs="Times New Roman"/>
          <w:sz w:val="20"/>
          <w:szCs w:val="20"/>
        </w:rPr>
        <w:t xml:space="preserve"> 73(6)</w:t>
      </w:r>
      <w:r w:rsidR="0016065A" w:rsidRPr="00CB5FD4">
        <w:rPr>
          <w:rFonts w:ascii="Times New Roman" w:hAnsi="Times New Roman" w:cs="Times New Roman"/>
          <w:sz w:val="20"/>
          <w:szCs w:val="20"/>
        </w:rPr>
        <w:t>:</w:t>
      </w:r>
      <w:r w:rsidRPr="00CB5FD4">
        <w:rPr>
          <w:rFonts w:ascii="Times New Roman" w:hAnsi="Times New Roman" w:cs="Times New Roman"/>
          <w:sz w:val="20"/>
          <w:szCs w:val="20"/>
        </w:rPr>
        <w:t xml:space="preserve"> 913-934. </w:t>
      </w:r>
      <w:bookmarkEnd w:id="42"/>
    </w:p>
    <w:p w:rsidR="00F22990" w:rsidRPr="00CB5FD4" w:rsidRDefault="00F22990" w:rsidP="00A3138A">
      <w:pPr>
        <w:pStyle w:val="EndNoteBibliography"/>
        <w:spacing w:after="0"/>
        <w:ind w:left="284" w:hanging="284"/>
        <w:rPr>
          <w:rFonts w:ascii="Times New Roman" w:hAnsi="Times New Roman" w:cs="Times New Roman"/>
          <w:sz w:val="20"/>
          <w:szCs w:val="20"/>
        </w:rPr>
      </w:pPr>
      <w:bookmarkStart w:id="43" w:name="_ENREF_51"/>
      <w:r w:rsidRPr="00CB5FD4">
        <w:rPr>
          <w:rFonts w:ascii="Times New Roman" w:hAnsi="Times New Roman" w:cs="Times New Roman"/>
          <w:sz w:val="20"/>
          <w:szCs w:val="20"/>
        </w:rPr>
        <w:t xml:space="preserve">Yanto, H., Handayani, B.D., Solikhah, B., </w:t>
      </w:r>
      <w:r w:rsidR="0064375D"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Mula, J.M. (2016). The </w:t>
      </w:r>
      <w:r w:rsidR="00663515" w:rsidRPr="00CB5FD4">
        <w:rPr>
          <w:rFonts w:ascii="Times New Roman" w:hAnsi="Times New Roman" w:cs="Times New Roman"/>
          <w:sz w:val="20"/>
          <w:szCs w:val="20"/>
        </w:rPr>
        <w:t>b</w:t>
      </w:r>
      <w:r w:rsidRPr="00CB5FD4">
        <w:rPr>
          <w:rFonts w:ascii="Times New Roman" w:hAnsi="Times New Roman" w:cs="Times New Roman"/>
          <w:sz w:val="20"/>
          <w:szCs w:val="20"/>
        </w:rPr>
        <w:t xml:space="preserve">ehavior of Indonesian SMEs in </w:t>
      </w:r>
      <w:r w:rsidR="00663515" w:rsidRPr="00CB5FD4">
        <w:rPr>
          <w:rFonts w:ascii="Times New Roman" w:hAnsi="Times New Roman" w:cs="Times New Roman"/>
          <w:sz w:val="20"/>
          <w:szCs w:val="20"/>
        </w:rPr>
        <w:t>a</w:t>
      </w:r>
      <w:r w:rsidRPr="00CB5FD4">
        <w:rPr>
          <w:rFonts w:ascii="Times New Roman" w:hAnsi="Times New Roman" w:cs="Times New Roman"/>
          <w:sz w:val="20"/>
          <w:szCs w:val="20"/>
        </w:rPr>
        <w:t xml:space="preserve">ccepting </w:t>
      </w:r>
      <w:r w:rsidR="00663515" w:rsidRPr="00CB5FD4">
        <w:rPr>
          <w:rFonts w:ascii="Times New Roman" w:hAnsi="Times New Roman" w:cs="Times New Roman"/>
          <w:sz w:val="20"/>
          <w:szCs w:val="20"/>
        </w:rPr>
        <w:t>f</w:t>
      </w:r>
      <w:r w:rsidRPr="00CB5FD4">
        <w:rPr>
          <w:rFonts w:ascii="Times New Roman" w:hAnsi="Times New Roman" w:cs="Times New Roman"/>
          <w:sz w:val="20"/>
          <w:szCs w:val="20"/>
        </w:rPr>
        <w:t xml:space="preserve">inancial </w:t>
      </w:r>
      <w:r w:rsidR="00663515" w:rsidRPr="00CB5FD4">
        <w:rPr>
          <w:rFonts w:ascii="Times New Roman" w:hAnsi="Times New Roman" w:cs="Times New Roman"/>
          <w:sz w:val="20"/>
          <w:szCs w:val="20"/>
        </w:rPr>
        <w:t>a</w:t>
      </w:r>
      <w:r w:rsidRPr="00CB5FD4">
        <w:rPr>
          <w:rFonts w:ascii="Times New Roman" w:hAnsi="Times New Roman" w:cs="Times New Roman"/>
          <w:sz w:val="20"/>
          <w:szCs w:val="20"/>
        </w:rPr>
        <w:t xml:space="preserve">ccounting </w:t>
      </w:r>
      <w:r w:rsidR="00663515" w:rsidRPr="00CB5FD4">
        <w:rPr>
          <w:rFonts w:ascii="Times New Roman" w:hAnsi="Times New Roman" w:cs="Times New Roman"/>
          <w:sz w:val="20"/>
          <w:szCs w:val="20"/>
        </w:rPr>
        <w:t>s</w:t>
      </w:r>
      <w:r w:rsidRPr="00CB5FD4">
        <w:rPr>
          <w:rFonts w:ascii="Times New Roman" w:hAnsi="Times New Roman" w:cs="Times New Roman"/>
          <w:sz w:val="20"/>
          <w:szCs w:val="20"/>
        </w:rPr>
        <w:t xml:space="preserve">tandards without </w:t>
      </w:r>
      <w:r w:rsidR="00663515" w:rsidRPr="00CB5FD4">
        <w:rPr>
          <w:rFonts w:ascii="Times New Roman" w:hAnsi="Times New Roman" w:cs="Times New Roman"/>
          <w:sz w:val="20"/>
          <w:szCs w:val="20"/>
        </w:rPr>
        <w:t>p</w:t>
      </w:r>
      <w:r w:rsidRPr="00CB5FD4">
        <w:rPr>
          <w:rFonts w:ascii="Times New Roman" w:hAnsi="Times New Roman" w:cs="Times New Roman"/>
          <w:sz w:val="20"/>
          <w:szCs w:val="20"/>
        </w:rPr>
        <w:t xml:space="preserve">ublic </w:t>
      </w:r>
      <w:r w:rsidR="00663515" w:rsidRPr="00CB5FD4">
        <w:rPr>
          <w:rFonts w:ascii="Times New Roman" w:hAnsi="Times New Roman" w:cs="Times New Roman"/>
          <w:sz w:val="20"/>
          <w:szCs w:val="20"/>
        </w:rPr>
        <w:t>a</w:t>
      </w:r>
      <w:r w:rsidRPr="00CB5FD4">
        <w:rPr>
          <w:rFonts w:ascii="Times New Roman" w:hAnsi="Times New Roman" w:cs="Times New Roman"/>
          <w:sz w:val="20"/>
          <w:szCs w:val="20"/>
        </w:rPr>
        <w:t xml:space="preserve">ccountability. </w:t>
      </w:r>
      <w:r w:rsidRPr="00CB5FD4">
        <w:rPr>
          <w:rFonts w:ascii="Times New Roman" w:hAnsi="Times New Roman" w:cs="Times New Roman"/>
          <w:i/>
          <w:sz w:val="20"/>
          <w:szCs w:val="20"/>
        </w:rPr>
        <w:t xml:space="preserve">International Journal of Business and Management Science, </w:t>
      </w:r>
      <w:r w:rsidRPr="00CB5FD4">
        <w:rPr>
          <w:rFonts w:ascii="Times New Roman" w:hAnsi="Times New Roman" w:cs="Times New Roman"/>
          <w:sz w:val="20"/>
          <w:szCs w:val="20"/>
        </w:rPr>
        <w:t>6(1)</w:t>
      </w:r>
      <w:r w:rsidR="0016065A" w:rsidRPr="00CB5FD4">
        <w:rPr>
          <w:rFonts w:ascii="Times New Roman" w:hAnsi="Times New Roman" w:cs="Times New Roman"/>
          <w:sz w:val="20"/>
          <w:szCs w:val="20"/>
        </w:rPr>
        <w:t>:</w:t>
      </w:r>
      <w:r w:rsidRPr="00CB5FD4">
        <w:rPr>
          <w:rFonts w:ascii="Times New Roman" w:hAnsi="Times New Roman" w:cs="Times New Roman"/>
          <w:sz w:val="20"/>
          <w:szCs w:val="20"/>
        </w:rPr>
        <w:t xml:space="preserve"> 43-62.</w:t>
      </w:r>
    </w:p>
    <w:p w:rsidR="00F22990" w:rsidRPr="00CB5FD4" w:rsidRDefault="00F22990" w:rsidP="00A3138A">
      <w:pPr>
        <w:pStyle w:val="EndNoteBibliography"/>
        <w:spacing w:after="0"/>
        <w:ind w:left="284" w:hanging="284"/>
        <w:rPr>
          <w:rFonts w:ascii="Times New Roman" w:hAnsi="Times New Roman" w:cs="Times New Roman"/>
          <w:sz w:val="20"/>
          <w:szCs w:val="20"/>
        </w:rPr>
      </w:pPr>
      <w:r w:rsidRPr="00CB5FD4">
        <w:rPr>
          <w:rFonts w:ascii="Times New Roman" w:hAnsi="Times New Roman" w:cs="Times New Roman"/>
          <w:sz w:val="20"/>
          <w:szCs w:val="20"/>
        </w:rPr>
        <w:t xml:space="preserve">Yanto, H., </w:t>
      </w:r>
      <w:r w:rsidR="0064375D"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Muzzammil, B.S. (2016). A long way to implement environmental reporting in Indonesian mining companies. </w:t>
      </w:r>
      <w:r w:rsidRPr="00CB5FD4">
        <w:rPr>
          <w:rFonts w:ascii="Times New Roman" w:hAnsi="Times New Roman" w:cs="Times New Roman"/>
          <w:i/>
          <w:sz w:val="20"/>
          <w:szCs w:val="20"/>
        </w:rPr>
        <w:t xml:space="preserve">International Journal of Applied Business and Economics Research, </w:t>
      </w:r>
      <w:r w:rsidRPr="00CB5FD4">
        <w:rPr>
          <w:rFonts w:ascii="Times New Roman" w:hAnsi="Times New Roman" w:cs="Times New Roman"/>
          <w:sz w:val="20"/>
          <w:szCs w:val="20"/>
        </w:rPr>
        <w:t>14(10)</w:t>
      </w:r>
      <w:r w:rsidR="0016065A" w:rsidRPr="00CB5FD4">
        <w:rPr>
          <w:rFonts w:ascii="Times New Roman" w:hAnsi="Times New Roman" w:cs="Times New Roman"/>
          <w:sz w:val="20"/>
          <w:szCs w:val="20"/>
        </w:rPr>
        <w:t>:</w:t>
      </w:r>
      <w:r w:rsidRPr="00CB5FD4">
        <w:rPr>
          <w:rFonts w:ascii="Times New Roman" w:hAnsi="Times New Roman" w:cs="Times New Roman"/>
          <w:sz w:val="20"/>
          <w:szCs w:val="20"/>
        </w:rPr>
        <w:t xml:space="preserve"> 6493-6514. </w:t>
      </w:r>
      <w:bookmarkEnd w:id="43"/>
    </w:p>
    <w:p w:rsidR="00F32F42" w:rsidRPr="00491834" w:rsidRDefault="00F22990" w:rsidP="00A3138A">
      <w:pPr>
        <w:pStyle w:val="EndNoteBibliography"/>
        <w:spacing w:after="0"/>
        <w:ind w:left="284" w:hanging="284"/>
        <w:rPr>
          <w:rFonts w:ascii="Times New Roman" w:hAnsi="Times New Roman" w:cs="Times New Roman"/>
          <w:sz w:val="20"/>
          <w:szCs w:val="20"/>
        </w:rPr>
      </w:pPr>
      <w:bookmarkStart w:id="44" w:name="_ENREF_52"/>
      <w:r w:rsidRPr="00CB5FD4">
        <w:rPr>
          <w:rFonts w:ascii="Times New Roman" w:hAnsi="Times New Roman" w:cs="Times New Roman"/>
          <w:sz w:val="20"/>
          <w:szCs w:val="20"/>
        </w:rPr>
        <w:t xml:space="preserve">Yusoff, H., Othman, R., </w:t>
      </w:r>
      <w:r w:rsidR="0064375D" w:rsidRPr="00CB5FD4">
        <w:rPr>
          <w:rFonts w:ascii="Times New Roman" w:hAnsi="Times New Roman" w:cs="Times New Roman"/>
          <w:sz w:val="20"/>
          <w:szCs w:val="20"/>
        </w:rPr>
        <w:t xml:space="preserve">and </w:t>
      </w:r>
      <w:r w:rsidRPr="00CB5FD4">
        <w:rPr>
          <w:rFonts w:ascii="Times New Roman" w:hAnsi="Times New Roman" w:cs="Times New Roman"/>
          <w:sz w:val="20"/>
          <w:szCs w:val="20"/>
        </w:rPr>
        <w:t xml:space="preserve">Yatim, N. (2013). Environmental reporting practices in Malaysia and Australia. </w:t>
      </w:r>
      <w:r w:rsidRPr="00CB5FD4">
        <w:rPr>
          <w:rFonts w:ascii="Times New Roman" w:hAnsi="Times New Roman" w:cs="Times New Roman"/>
          <w:i/>
          <w:sz w:val="20"/>
          <w:szCs w:val="20"/>
        </w:rPr>
        <w:t xml:space="preserve">Journal of Applied Business Research, </w:t>
      </w:r>
      <w:r w:rsidRPr="00491834">
        <w:rPr>
          <w:rFonts w:ascii="Times New Roman" w:hAnsi="Times New Roman" w:cs="Times New Roman"/>
          <w:sz w:val="20"/>
          <w:szCs w:val="20"/>
        </w:rPr>
        <w:t>29</w:t>
      </w:r>
      <w:r w:rsidR="0016065A" w:rsidRPr="00491834">
        <w:rPr>
          <w:rFonts w:ascii="Times New Roman" w:hAnsi="Times New Roman" w:cs="Times New Roman"/>
          <w:sz w:val="20"/>
          <w:szCs w:val="20"/>
        </w:rPr>
        <w:t>(6):</w:t>
      </w:r>
      <w:r w:rsidRPr="00491834">
        <w:rPr>
          <w:rFonts w:ascii="Times New Roman" w:hAnsi="Times New Roman" w:cs="Times New Roman"/>
          <w:sz w:val="20"/>
          <w:szCs w:val="20"/>
        </w:rPr>
        <w:t xml:space="preserve"> 1717</w:t>
      </w:r>
      <w:r w:rsidR="0064375D" w:rsidRPr="00491834">
        <w:rPr>
          <w:rFonts w:ascii="Times New Roman" w:hAnsi="Times New Roman" w:cs="Times New Roman"/>
          <w:sz w:val="20"/>
          <w:szCs w:val="20"/>
        </w:rPr>
        <w:t>-1726</w:t>
      </w:r>
      <w:r w:rsidRPr="00491834">
        <w:rPr>
          <w:rFonts w:ascii="Times New Roman" w:hAnsi="Times New Roman" w:cs="Times New Roman"/>
          <w:sz w:val="20"/>
          <w:szCs w:val="20"/>
        </w:rPr>
        <w:t xml:space="preserve">. </w:t>
      </w:r>
      <w:bookmarkEnd w:id="44"/>
    </w:p>
    <w:sectPr w:rsidR="00F32F42" w:rsidRPr="00491834" w:rsidSect="0046265B">
      <w:headerReference w:type="even" r:id="rId9"/>
      <w:headerReference w:type="default" r:id="rId10"/>
      <w:footerReference w:type="even" r:id="rId11"/>
      <w:footerReference w:type="default" r:id="rId12"/>
      <w:headerReference w:type="first" r:id="rId13"/>
      <w:footerReference w:type="first" r:id="rId14"/>
      <w:pgSz w:w="10440" w:h="15120" w:code="7"/>
      <w:pgMar w:top="1418" w:right="1418" w:bottom="1418" w:left="1701" w:header="709" w:footer="709" w:gutter="0"/>
      <w:pgNumType w:start="2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FD" w:rsidRDefault="009470FD">
      <w:r>
        <w:separator/>
      </w:r>
    </w:p>
  </w:endnote>
  <w:endnote w:type="continuationSeparator" w:id="0">
    <w:p w:rsidR="009470FD" w:rsidRDefault="0094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EB" w:rsidRPr="00274A37" w:rsidRDefault="00F258EB">
    <w:pPr>
      <w:pStyle w:val="Footer"/>
      <w:rPr>
        <w:sz w:val="18"/>
        <w:szCs w:val="18"/>
      </w:rPr>
    </w:pPr>
    <w:r w:rsidRPr="002E2031">
      <w:rPr>
        <w:rFonts w:ascii="Book Antiqua" w:hAnsi="Book Antiqua" w:cs="Book Antiqua"/>
        <w:iCs/>
        <w:sz w:val="18"/>
        <w:szCs w:val="18"/>
      </w:rPr>
      <w:fldChar w:fldCharType="begin"/>
    </w:r>
    <w:r w:rsidRPr="002E2031">
      <w:rPr>
        <w:rFonts w:ascii="Book Antiqua" w:hAnsi="Book Antiqua" w:cs="Book Antiqua"/>
        <w:iCs/>
        <w:sz w:val="18"/>
        <w:szCs w:val="18"/>
      </w:rPr>
      <w:instrText xml:space="preserve"> PAGE   \* MERGEFORMAT </w:instrText>
    </w:r>
    <w:r w:rsidRPr="002E2031">
      <w:rPr>
        <w:rFonts w:ascii="Book Antiqua" w:hAnsi="Book Antiqua" w:cs="Book Antiqua"/>
        <w:iCs/>
        <w:sz w:val="18"/>
        <w:szCs w:val="18"/>
      </w:rPr>
      <w:fldChar w:fldCharType="separate"/>
    </w:r>
    <w:r>
      <w:rPr>
        <w:rFonts w:ascii="Book Antiqua" w:hAnsi="Book Antiqua" w:cs="Book Antiqua"/>
        <w:iCs/>
        <w:noProof/>
        <w:sz w:val="18"/>
        <w:szCs w:val="18"/>
      </w:rPr>
      <w:t>240</w:t>
    </w:r>
    <w:r w:rsidRPr="002E2031">
      <w:rPr>
        <w:rFonts w:ascii="Book Antiqua" w:hAnsi="Book Antiqua" w:cs="Book Antiqua"/>
        <w:iCs/>
        <w:sz w:val="18"/>
        <w:szCs w:val="18"/>
      </w:rPr>
      <w:fldChar w:fldCharType="end"/>
    </w:r>
    <w:r>
      <w:rPr>
        <w:rFonts w:ascii="Book Antiqua" w:hAnsi="Book Antiqua" w:cs="Book Antiqua"/>
        <w:iCs/>
        <w:sz w:val="18"/>
        <w:szCs w:val="18"/>
      </w:rPr>
      <w:ptab w:relativeTo="margin" w:alignment="right" w:leader="none"/>
    </w:r>
    <w:r w:rsidRPr="002E2031">
      <w:rPr>
        <w:rFonts w:ascii="Book Antiqua" w:hAnsi="Book Antiqua" w:cs="Book Antiqua"/>
        <w:iCs/>
        <w:sz w:val="18"/>
        <w:szCs w:val="18"/>
      </w:rPr>
      <w:t>International Journal of Bu</w:t>
    </w:r>
    <w:r>
      <w:rPr>
        <w:rFonts w:ascii="Book Antiqua" w:hAnsi="Book Antiqua" w:cs="Book Antiqua"/>
        <w:iCs/>
        <w:sz w:val="18"/>
        <w:szCs w:val="18"/>
      </w:rPr>
      <w:t>siness and Management Science, 7</w:t>
    </w:r>
    <w:r w:rsidRPr="002E2031">
      <w:rPr>
        <w:rFonts w:ascii="Book Antiqua" w:hAnsi="Book Antiqua" w:cs="Book Antiqua"/>
        <w:iCs/>
        <w:sz w:val="18"/>
        <w:szCs w:val="18"/>
      </w:rPr>
      <w:t>(</w:t>
    </w:r>
    <w:r>
      <w:rPr>
        <w:rFonts w:ascii="Book Antiqua" w:hAnsi="Book Antiqua" w:cs="Book Antiqua"/>
        <w:iCs/>
        <w:sz w:val="18"/>
        <w:szCs w:val="18"/>
      </w:rPr>
      <w:t>2):</w:t>
    </w:r>
    <w:r w:rsidRPr="002E2031">
      <w:rPr>
        <w:rFonts w:ascii="Book Antiqua" w:hAnsi="Book Antiqua" w:cs="Book Antiqua"/>
        <w:iCs/>
        <w:sz w:val="18"/>
        <w:szCs w:val="18"/>
      </w:rPr>
      <w:t xml:space="preserve"> </w:t>
    </w:r>
    <w:r>
      <w:rPr>
        <w:rFonts w:ascii="Book Antiqua" w:hAnsi="Book Antiqua" w:cs="Book Antiqua"/>
        <w:iCs/>
        <w:sz w:val="18"/>
        <w:szCs w:val="18"/>
      </w:rPr>
      <w:t>219-236,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EB" w:rsidRPr="00D23DBF" w:rsidRDefault="00F258EB" w:rsidP="00D23DBF">
    <w:pPr>
      <w:pStyle w:val="Footer"/>
      <w:rPr>
        <w:rFonts w:ascii="Book Antiqua" w:hAnsi="Book Antiqua" w:cs="Book Antiqua"/>
        <w:iCs/>
        <w:vanish/>
        <w:sz w:val="18"/>
        <w:szCs w:val="18"/>
      </w:rPr>
    </w:pPr>
    <w:r>
      <w:rPr>
        <w:rFonts w:ascii="Book Antiqua" w:hAnsi="Book Antiqua" w:cs="Book Antiqua"/>
        <w:iCs/>
        <w:sz w:val="18"/>
        <w:szCs w:val="18"/>
      </w:rPr>
      <w:ptab w:relativeTo="margin" w:alignment="right" w:leader="none"/>
    </w:r>
    <w:r>
      <w:rPr>
        <w:rFonts w:ascii="Book Antiqua" w:hAnsi="Book Antiqua" w:cs="Book Antiqua"/>
        <w:iCs/>
        <w:sz w:val="18"/>
        <w:szCs w:val="18"/>
      </w:rPr>
      <w:ptab w:relativeTo="margin" w:alignment="left" w:leader="none"/>
    </w:r>
    <w:r w:rsidRPr="002E2031">
      <w:rPr>
        <w:rFonts w:ascii="Book Antiqua" w:hAnsi="Book Antiqua" w:cs="Book Antiqua"/>
        <w:iCs/>
        <w:sz w:val="18"/>
        <w:szCs w:val="18"/>
      </w:rPr>
      <w:t>International Journal of Bu</w:t>
    </w:r>
    <w:r>
      <w:rPr>
        <w:rFonts w:ascii="Book Antiqua" w:hAnsi="Book Antiqua" w:cs="Book Antiqua"/>
        <w:iCs/>
        <w:sz w:val="18"/>
        <w:szCs w:val="18"/>
      </w:rPr>
      <w:t>siness and Management Science, 7</w:t>
    </w:r>
    <w:r w:rsidRPr="002E2031">
      <w:rPr>
        <w:rFonts w:ascii="Book Antiqua" w:hAnsi="Book Antiqua" w:cs="Book Antiqua"/>
        <w:iCs/>
        <w:sz w:val="18"/>
        <w:szCs w:val="18"/>
      </w:rPr>
      <w:t>(</w:t>
    </w:r>
    <w:r>
      <w:rPr>
        <w:rFonts w:ascii="Book Antiqua" w:hAnsi="Book Antiqua" w:cs="Book Antiqua"/>
        <w:iCs/>
        <w:sz w:val="18"/>
        <w:szCs w:val="18"/>
      </w:rPr>
      <w:t>2):</w:t>
    </w:r>
    <w:r w:rsidRPr="002E2031">
      <w:rPr>
        <w:rFonts w:ascii="Book Antiqua" w:hAnsi="Book Antiqua" w:cs="Book Antiqua"/>
        <w:iCs/>
        <w:sz w:val="18"/>
        <w:szCs w:val="18"/>
      </w:rPr>
      <w:t xml:space="preserve"> </w:t>
    </w:r>
    <w:r>
      <w:rPr>
        <w:rFonts w:ascii="Book Antiqua" w:hAnsi="Book Antiqua" w:cs="Book Antiqua"/>
        <w:iCs/>
        <w:sz w:val="18"/>
        <w:szCs w:val="18"/>
      </w:rPr>
      <w:t>219-236, 2017</w:t>
    </w:r>
    <w:r>
      <w:rPr>
        <w:rFonts w:ascii="Book Antiqua" w:hAnsi="Book Antiqua" w:cs="Book Antiqua"/>
        <w:iCs/>
        <w:sz w:val="18"/>
        <w:szCs w:val="18"/>
      </w:rPr>
      <w:ptab w:relativeTo="margin" w:alignment="right" w:leader="none"/>
    </w:r>
    <w:r w:rsidRPr="002E2031">
      <w:rPr>
        <w:rFonts w:ascii="Book Antiqua" w:hAnsi="Book Antiqua" w:cs="Book Antiqua"/>
        <w:iCs/>
        <w:sz w:val="18"/>
        <w:szCs w:val="18"/>
      </w:rPr>
      <w:fldChar w:fldCharType="begin"/>
    </w:r>
    <w:r w:rsidRPr="002E2031">
      <w:rPr>
        <w:rFonts w:ascii="Book Antiqua" w:hAnsi="Book Antiqua" w:cs="Book Antiqua"/>
        <w:iCs/>
        <w:sz w:val="18"/>
        <w:szCs w:val="18"/>
      </w:rPr>
      <w:instrText xml:space="preserve"> PAGE   \* MERGEFORMAT </w:instrText>
    </w:r>
    <w:r w:rsidRPr="002E2031">
      <w:rPr>
        <w:rFonts w:ascii="Book Antiqua" w:hAnsi="Book Antiqua" w:cs="Book Antiqua"/>
        <w:iCs/>
        <w:sz w:val="18"/>
        <w:szCs w:val="18"/>
      </w:rPr>
      <w:fldChar w:fldCharType="separate"/>
    </w:r>
    <w:r>
      <w:rPr>
        <w:rFonts w:ascii="Book Antiqua" w:hAnsi="Book Antiqua" w:cs="Book Antiqua"/>
        <w:iCs/>
        <w:noProof/>
        <w:sz w:val="18"/>
        <w:szCs w:val="18"/>
      </w:rPr>
      <w:t>241</w:t>
    </w:r>
    <w:r w:rsidRPr="002E2031">
      <w:rPr>
        <w:rFonts w:ascii="Book Antiqua" w:hAnsi="Book Antiqua" w:cs="Book Antiqua"/>
        <w:iCs/>
        <w:sz w:val="18"/>
        <w:szCs w:val="18"/>
      </w:rPr>
      <w:fldChar w:fldCharType="end"/>
    </w:r>
    <w:r w:rsidRPr="00D23DBF">
      <w:rPr>
        <w:rFonts w:ascii="Book Antiqua" w:hAnsi="Book Antiqua" w:cs="Book Antiqua"/>
        <w:iCs/>
        <w:sz w:val="18"/>
        <w:szCs w:val="18"/>
      </w:rPr>
      <w:t xml:space="preserve"> </w:t>
    </w:r>
  </w:p>
  <w:p w:rsidR="00F258EB" w:rsidRPr="00274A37" w:rsidRDefault="00F258EB" w:rsidP="00274A37">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EB" w:rsidRPr="00274A37" w:rsidRDefault="00F258EB">
    <w:pPr>
      <w:pStyle w:val="Footer"/>
      <w:rPr>
        <w:sz w:val="18"/>
        <w:szCs w:val="18"/>
      </w:rPr>
    </w:pPr>
    <w:r>
      <w:rPr>
        <w:rFonts w:ascii="Book Antiqua" w:hAnsi="Book Antiqua" w:cs="Book Antiqua"/>
        <w:iCs/>
        <w:sz w:val="18"/>
        <w:szCs w:val="18"/>
      </w:rPr>
      <w:t xml:space="preserve">Published by </w:t>
    </w:r>
    <w:r w:rsidR="0031341B">
      <w:rPr>
        <w:rFonts w:ascii="Book Antiqua" w:hAnsi="Book Antiqua" w:cs="Book Antiqua"/>
        <w:iCs/>
        <w:sz w:val="18"/>
        <w:szCs w:val="18"/>
      </w:rPr>
      <w:t xml:space="preserve">the </w:t>
    </w:r>
    <w:r>
      <w:rPr>
        <w:rFonts w:ascii="Book Antiqua" w:hAnsi="Book Antiqua" w:cs="Book Antiqua"/>
        <w:iCs/>
        <w:sz w:val="18"/>
        <w:szCs w:val="18"/>
      </w:rPr>
      <w:t>Society for Alliance</w:t>
    </w:r>
    <w:r w:rsidR="0031341B">
      <w:rPr>
        <w:rFonts w:ascii="Book Antiqua" w:hAnsi="Book Antiqua" w:cs="Book Antiqua"/>
        <w:iCs/>
        <w:sz w:val="18"/>
        <w:szCs w:val="18"/>
      </w:rPr>
      <w:t>,</w:t>
    </w:r>
    <w:r>
      <w:rPr>
        <w:rFonts w:ascii="Book Antiqua" w:hAnsi="Book Antiqua" w:cs="Book Antiqua"/>
        <w:iCs/>
        <w:sz w:val="18"/>
        <w:szCs w:val="18"/>
      </w:rPr>
      <w:t xml:space="preserve"> Fidelity and Advancement</w:t>
    </w:r>
    <w:r w:rsidRPr="00685BEC">
      <w:rPr>
        <w:sz w:val="18"/>
        <w:szCs w:val="18"/>
      </w:rPr>
      <w:t xml:space="preserve"> (</w:t>
    </w:r>
    <w:r>
      <w:rPr>
        <w:sz w:val="18"/>
        <w:szCs w:val="18"/>
      </w:rPr>
      <w:t>SAFA)</w:t>
    </w:r>
    <w:r w:rsidRPr="002E2031">
      <w:rPr>
        <w:rFonts w:ascii="Book Antiqua" w:hAnsi="Book Antiqua" w:cs="Book Antiqua"/>
        <w:iCs/>
        <w:sz w:val="18"/>
        <w:szCs w:val="18"/>
      </w:rPr>
      <w:ptab w:relativeTo="margin" w:alignment="right" w:leader="none"/>
    </w:r>
    <w:r w:rsidRPr="002E2031">
      <w:rPr>
        <w:rFonts w:ascii="Book Antiqua" w:hAnsi="Book Antiqua" w:cs="Book Antiqua"/>
        <w:iCs/>
        <w:sz w:val="18"/>
        <w:szCs w:val="18"/>
      </w:rPr>
      <w:fldChar w:fldCharType="begin"/>
    </w:r>
    <w:r w:rsidRPr="002E2031">
      <w:rPr>
        <w:rFonts w:ascii="Book Antiqua" w:hAnsi="Book Antiqua" w:cs="Book Antiqua"/>
        <w:iCs/>
        <w:sz w:val="18"/>
        <w:szCs w:val="18"/>
      </w:rPr>
      <w:instrText xml:space="preserve"> PAGE   \* MERGEFORMAT </w:instrText>
    </w:r>
    <w:r w:rsidRPr="002E2031">
      <w:rPr>
        <w:rFonts w:ascii="Book Antiqua" w:hAnsi="Book Antiqua" w:cs="Book Antiqua"/>
        <w:iCs/>
        <w:sz w:val="18"/>
        <w:szCs w:val="18"/>
      </w:rPr>
      <w:fldChar w:fldCharType="separate"/>
    </w:r>
    <w:r>
      <w:rPr>
        <w:rFonts w:ascii="Book Antiqua" w:hAnsi="Book Antiqua" w:cs="Book Antiqua"/>
        <w:iCs/>
        <w:noProof/>
        <w:sz w:val="18"/>
        <w:szCs w:val="18"/>
      </w:rPr>
      <w:t>223</w:t>
    </w:r>
    <w:r w:rsidRPr="002E2031">
      <w:rPr>
        <w:rFonts w:ascii="Book Antiqua" w:hAnsi="Book Antiqua" w:cs="Book Antiqua"/>
        <w:iCs/>
        <w:sz w:val="18"/>
        <w:szCs w:val="18"/>
      </w:rPr>
      <w:fldChar w:fldCharType="end"/>
    </w:r>
    <w:r w:rsidRPr="002E2031">
      <w:rPr>
        <w:rFonts w:ascii="Book Antiqua" w:hAnsi="Book Antiqua" w:cs="Book Antiqua"/>
        <w:iCs/>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FD" w:rsidRDefault="009470FD">
      <w:r>
        <w:separator/>
      </w:r>
    </w:p>
  </w:footnote>
  <w:footnote w:type="continuationSeparator" w:id="0">
    <w:p w:rsidR="009470FD" w:rsidRDefault="009470FD">
      <w:r>
        <w:continuationSeparator/>
      </w:r>
    </w:p>
  </w:footnote>
  <w:footnote w:id="1">
    <w:p w:rsidR="00F258EB" w:rsidRPr="00CE2BC6" w:rsidRDefault="00F258EB" w:rsidP="000B0092">
      <w:pPr>
        <w:jc w:val="both"/>
        <w:textAlignment w:val="baseline"/>
        <w:rPr>
          <w:sz w:val="16"/>
          <w:szCs w:val="16"/>
        </w:rPr>
      </w:pPr>
      <w:r w:rsidRPr="0038094B">
        <w:rPr>
          <w:rStyle w:val="FootnoteReference"/>
          <w:sz w:val="16"/>
          <w:szCs w:val="16"/>
        </w:rPr>
        <w:footnoteRef/>
      </w:r>
      <w:r w:rsidRPr="0038094B">
        <w:rPr>
          <w:bCs/>
          <w:sz w:val="16"/>
          <w:szCs w:val="16"/>
          <w:bdr w:val="none" w:sz="0" w:space="0" w:color="auto" w:frame="1"/>
        </w:rPr>
        <w:t xml:space="preserve"> Copyright @ 2017, Mohammad Safa: </w:t>
      </w:r>
      <w:r w:rsidRPr="0038094B">
        <w:rPr>
          <w:sz w:val="16"/>
          <w:szCs w:val="16"/>
        </w:rPr>
        <w:t>Unless otherwise noted, copyrights for the texts which comprise all issues of </w:t>
      </w:r>
      <w:r>
        <w:rPr>
          <w:sz w:val="16"/>
          <w:szCs w:val="16"/>
        </w:rPr>
        <w:t xml:space="preserve">the </w:t>
      </w:r>
      <w:r w:rsidRPr="0038094B">
        <w:rPr>
          <w:i/>
          <w:sz w:val="16"/>
          <w:szCs w:val="16"/>
        </w:rPr>
        <w:t xml:space="preserve">International </w:t>
      </w:r>
      <w:r w:rsidRPr="0038094B">
        <w:rPr>
          <w:i/>
          <w:iCs/>
          <w:sz w:val="16"/>
          <w:szCs w:val="16"/>
          <w:bdr w:val="none" w:sz="0" w:space="0" w:color="auto" w:frame="1"/>
        </w:rPr>
        <w:t>Journal of Business and Management Science</w:t>
      </w:r>
      <w:r w:rsidRPr="0038094B">
        <w:rPr>
          <w:sz w:val="16"/>
          <w:szCs w:val="16"/>
        </w:rPr>
        <w:t> (</w:t>
      </w:r>
      <w:proofErr w:type="spellStart"/>
      <w:r w:rsidRPr="0038094B">
        <w:rPr>
          <w:sz w:val="16"/>
          <w:szCs w:val="16"/>
        </w:rPr>
        <w:t>IJBMS</w:t>
      </w:r>
      <w:proofErr w:type="spellEnd"/>
      <w:r w:rsidRPr="0038094B">
        <w:rPr>
          <w:sz w:val="16"/>
          <w:szCs w:val="16"/>
        </w:rPr>
        <w:t xml:space="preserve">) are held by the copyright owner. Items published by </w:t>
      </w:r>
      <w:proofErr w:type="spellStart"/>
      <w:r w:rsidRPr="0038094B">
        <w:rPr>
          <w:sz w:val="16"/>
          <w:szCs w:val="16"/>
        </w:rPr>
        <w:t>IJBMS</w:t>
      </w:r>
      <w:proofErr w:type="spellEnd"/>
      <w:r w:rsidRPr="0038094B">
        <w:rPr>
          <w:sz w:val="16"/>
          <w:szCs w:val="16"/>
        </w:rPr>
        <w:t xml:space="preserve"> may be freely shared among individuals, but they </w:t>
      </w:r>
      <w:r w:rsidRPr="00CE2BC6">
        <w:rPr>
          <w:sz w:val="16"/>
          <w:szCs w:val="16"/>
        </w:rPr>
        <w:t>may NOT be republished in any medium without written consent from</w:t>
      </w:r>
      <w:r>
        <w:rPr>
          <w:sz w:val="16"/>
          <w:szCs w:val="16"/>
        </w:rPr>
        <w:t xml:space="preserve"> the copyright owner</w:t>
      </w:r>
      <w:r>
        <w:rPr>
          <w:i/>
          <w:iCs/>
          <w:sz w:val="16"/>
          <w:szCs w:val="16"/>
          <w:bdr w:val="none" w:sz="0" w:space="0" w:color="auto" w:frame="1"/>
        </w:rPr>
        <w:t xml:space="preserve">. </w:t>
      </w:r>
      <w:r>
        <w:rPr>
          <w:iCs/>
          <w:sz w:val="16"/>
          <w:szCs w:val="16"/>
          <w:bdr w:val="none" w:sz="0" w:space="0" w:color="auto" w:frame="1"/>
        </w:rPr>
        <w:t>In order to discuss any relevant issues or acquire permission for reprint or reuse of data,</w:t>
      </w:r>
      <w:r w:rsidRPr="00CE2BC6">
        <w:rPr>
          <w:i/>
          <w:iCs/>
          <w:sz w:val="16"/>
          <w:szCs w:val="16"/>
          <w:bdr w:val="none" w:sz="0" w:space="0" w:color="auto" w:frame="1"/>
        </w:rPr>
        <w:t> </w:t>
      </w:r>
      <w:r w:rsidRPr="00CE2BC6">
        <w:rPr>
          <w:sz w:val="16"/>
          <w:szCs w:val="16"/>
        </w:rPr>
        <w:t>please contact Chief</w:t>
      </w:r>
      <w:r>
        <w:rPr>
          <w:sz w:val="16"/>
          <w:szCs w:val="16"/>
        </w:rPr>
        <w:t xml:space="preserve"> Editor</w:t>
      </w:r>
      <w:r w:rsidRPr="00CE2BC6">
        <w:rPr>
          <w:sz w:val="16"/>
          <w:szCs w:val="16"/>
        </w:rPr>
        <w:t xml:space="preserve"> at </w:t>
      </w:r>
      <w:proofErr w:type="spellStart"/>
      <w:r w:rsidRPr="00CE2BC6">
        <w:rPr>
          <w:sz w:val="16"/>
          <w:szCs w:val="16"/>
        </w:rPr>
        <w:t>m.safa</w:t>
      </w:r>
      <w:r w:rsidRPr="00CE2BC6">
        <w:rPr>
          <w:sz w:val="16"/>
          <w:szCs w:val="16"/>
          <w:bdr w:val="none" w:sz="0" w:space="0" w:color="auto" w:frame="1"/>
        </w:rPr>
        <w:t>@safaworld.org</w:t>
      </w:r>
      <w:proofErr w:type="spellEnd"/>
      <w:r w:rsidRPr="00CE2BC6">
        <w:rPr>
          <w:sz w:val="16"/>
          <w:szCs w:val="16"/>
        </w:rPr>
        <w:t>.</w:t>
      </w:r>
      <w:r>
        <w:rPr>
          <w:sz w:val="16"/>
          <w:szCs w:val="16"/>
        </w:rPr>
        <w:t xml:space="preserve"> </w:t>
      </w:r>
    </w:p>
  </w:footnote>
  <w:footnote w:id="2">
    <w:p w:rsidR="00F258EB" w:rsidRPr="00CE2BC6" w:rsidRDefault="00F258EB" w:rsidP="000B0092">
      <w:pPr>
        <w:jc w:val="both"/>
        <w:textAlignment w:val="baseline"/>
        <w:rPr>
          <w:sz w:val="16"/>
          <w:szCs w:val="16"/>
        </w:rPr>
      </w:pPr>
      <w:r w:rsidRPr="00CE2BC6">
        <w:rPr>
          <w:rStyle w:val="FootnoteReference"/>
          <w:sz w:val="16"/>
          <w:szCs w:val="16"/>
        </w:rPr>
        <w:footnoteRef/>
      </w:r>
      <w:r>
        <w:rPr>
          <w:sz w:val="16"/>
          <w:szCs w:val="16"/>
        </w:rPr>
        <w:t xml:space="preserve"> </w:t>
      </w:r>
      <w:r w:rsidRPr="00CE2BC6">
        <w:rPr>
          <w:bCs/>
          <w:sz w:val="16"/>
          <w:szCs w:val="16"/>
          <w:bdr w:val="none" w:sz="0" w:space="0" w:color="auto" w:frame="1"/>
        </w:rPr>
        <w:t>Disclaimer:</w:t>
      </w:r>
      <w:r>
        <w:rPr>
          <w:b/>
          <w:bCs/>
          <w:sz w:val="16"/>
          <w:szCs w:val="16"/>
          <w:bdr w:val="none" w:sz="0" w:space="0" w:color="auto" w:frame="1"/>
        </w:rPr>
        <w:t xml:space="preserve"> </w:t>
      </w:r>
      <w:r w:rsidRPr="00CE2BC6">
        <w:rPr>
          <w:sz w:val="16"/>
          <w:szCs w:val="16"/>
        </w:rPr>
        <w:t>Facts and opinions published in </w:t>
      </w:r>
      <w:r>
        <w:rPr>
          <w:sz w:val="16"/>
          <w:szCs w:val="16"/>
        </w:rPr>
        <w:t xml:space="preserve">the </w:t>
      </w:r>
      <w:r w:rsidRPr="00DB574D">
        <w:rPr>
          <w:i/>
          <w:iCs/>
          <w:sz w:val="16"/>
          <w:szCs w:val="16"/>
        </w:rPr>
        <w:t>International</w:t>
      </w:r>
      <w:r>
        <w:rPr>
          <w:sz w:val="16"/>
          <w:szCs w:val="16"/>
        </w:rPr>
        <w:t xml:space="preserve"> </w:t>
      </w:r>
      <w:r w:rsidRPr="00CE2BC6">
        <w:rPr>
          <w:i/>
          <w:iCs/>
          <w:sz w:val="16"/>
          <w:szCs w:val="16"/>
          <w:bdr w:val="none" w:sz="0" w:space="0" w:color="auto" w:frame="1"/>
        </w:rPr>
        <w:t xml:space="preserve">Journal of </w:t>
      </w:r>
      <w:r>
        <w:rPr>
          <w:i/>
          <w:iCs/>
          <w:sz w:val="16"/>
          <w:szCs w:val="16"/>
          <w:bdr w:val="none" w:sz="0" w:space="0" w:color="auto" w:frame="1"/>
        </w:rPr>
        <w:t xml:space="preserve">Business and Management Science </w:t>
      </w:r>
      <w:r w:rsidRPr="00CE2BC6">
        <w:rPr>
          <w:sz w:val="16"/>
          <w:szCs w:val="16"/>
        </w:rPr>
        <w:t>(</w:t>
      </w:r>
      <w:proofErr w:type="spellStart"/>
      <w:r>
        <w:rPr>
          <w:sz w:val="16"/>
          <w:szCs w:val="16"/>
        </w:rPr>
        <w:t>IJBMS</w:t>
      </w:r>
      <w:proofErr w:type="spellEnd"/>
      <w:r w:rsidRPr="00CE2BC6">
        <w:rPr>
          <w:sz w:val="16"/>
          <w:szCs w:val="16"/>
        </w:rPr>
        <w:t>) express solely the opinions of the respective author</w:t>
      </w:r>
      <w:r>
        <w:rPr>
          <w:sz w:val="16"/>
          <w:szCs w:val="16"/>
        </w:rPr>
        <w:t>(</w:t>
      </w:r>
      <w:r w:rsidRPr="00CE2BC6">
        <w:rPr>
          <w:sz w:val="16"/>
          <w:szCs w:val="16"/>
        </w:rPr>
        <w:t>s</w:t>
      </w:r>
      <w:r>
        <w:rPr>
          <w:sz w:val="16"/>
          <w:szCs w:val="16"/>
        </w:rPr>
        <w:t>)</w:t>
      </w:r>
      <w:r w:rsidRPr="00CE2BC6">
        <w:rPr>
          <w:sz w:val="16"/>
          <w:szCs w:val="16"/>
        </w:rPr>
        <w:t>. Author</w:t>
      </w:r>
      <w:r>
        <w:rPr>
          <w:sz w:val="16"/>
          <w:szCs w:val="16"/>
        </w:rPr>
        <w:t>(</w:t>
      </w:r>
      <w:r w:rsidRPr="00CE2BC6">
        <w:rPr>
          <w:sz w:val="16"/>
          <w:szCs w:val="16"/>
        </w:rPr>
        <w:t>s</w:t>
      </w:r>
      <w:r>
        <w:rPr>
          <w:sz w:val="16"/>
          <w:szCs w:val="16"/>
        </w:rPr>
        <w:t>)</w:t>
      </w:r>
      <w:r w:rsidRPr="00CE2BC6">
        <w:rPr>
          <w:sz w:val="16"/>
          <w:szCs w:val="16"/>
        </w:rPr>
        <w:t xml:space="preserve"> are responsible for</w:t>
      </w:r>
      <w:r>
        <w:rPr>
          <w:sz w:val="16"/>
          <w:szCs w:val="16"/>
        </w:rPr>
        <w:t xml:space="preserve"> citing sources</w:t>
      </w:r>
      <w:r w:rsidRPr="00CE2BC6">
        <w:rPr>
          <w:sz w:val="16"/>
          <w:szCs w:val="16"/>
        </w:rPr>
        <w:t xml:space="preserve"> and the accuracy of their references.</w:t>
      </w:r>
      <w:r>
        <w:rPr>
          <w:sz w:val="16"/>
          <w:szCs w:val="16"/>
        </w:rPr>
        <w:t xml:space="preserve"> </w:t>
      </w:r>
      <w:r w:rsidRPr="00CE2BC6">
        <w:rPr>
          <w:sz w:val="16"/>
          <w:szCs w:val="16"/>
        </w:rPr>
        <w:t>The editors cannot be held responsible for any lacks or possible violations of third parties’ rights.</w:t>
      </w:r>
      <w:r>
        <w:rPr>
          <w:sz w:val="16"/>
          <w:szCs w:val="16"/>
        </w:rPr>
        <w:t xml:space="preserve"> If any misconduct found in any published items, the relevant party may contact Chief Editor for suggestions.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5766"/>
      <w:gridCol w:w="1555"/>
    </w:tblGrid>
    <w:tr w:rsidR="00F258EB" w:rsidRPr="00585E86" w:rsidTr="00F22990">
      <w:trPr>
        <w:trHeight w:val="80"/>
      </w:trPr>
      <w:tc>
        <w:tcPr>
          <w:tcW w:w="3938" w:type="pct"/>
        </w:tcPr>
        <w:p w:rsidR="00F258EB" w:rsidRPr="000B0092" w:rsidRDefault="00F258EB" w:rsidP="000B0092">
          <w:pPr>
            <w:rPr>
              <w:rFonts w:ascii="Book Antiqua" w:hAnsi="Book Antiqua"/>
              <w:sz w:val="18"/>
              <w:szCs w:val="18"/>
            </w:rPr>
          </w:pPr>
          <w:r w:rsidRPr="000B0092">
            <w:rPr>
              <w:rFonts w:ascii="Book Antiqua" w:hAnsi="Book Antiqua"/>
              <w:sz w:val="18"/>
              <w:szCs w:val="18"/>
            </w:rPr>
            <w:t>Carbon Emission among Indonesian Manufacturing Companies</w:t>
          </w:r>
        </w:p>
      </w:tc>
      <w:tc>
        <w:tcPr>
          <w:tcW w:w="1062" w:type="pct"/>
        </w:tcPr>
        <w:p w:rsidR="00F258EB" w:rsidRPr="00585E86" w:rsidRDefault="00F258EB" w:rsidP="00F22990">
          <w:pPr>
            <w:jc w:val="right"/>
            <w:rPr>
              <w:rFonts w:ascii="Book Antiqua" w:hAnsi="Book Antiqua"/>
              <w:sz w:val="18"/>
              <w:szCs w:val="18"/>
            </w:rPr>
          </w:pPr>
          <w:r>
            <w:rPr>
              <w:rFonts w:ascii="Book Antiqua" w:hAnsi="Book Antiqua"/>
              <w:sz w:val="18"/>
              <w:szCs w:val="18"/>
            </w:rPr>
            <w:t>ISSN 1985</w:t>
          </w:r>
          <w:r w:rsidRPr="00585E86">
            <w:rPr>
              <w:rFonts w:ascii="Book Antiqua" w:hAnsi="Book Antiqua"/>
              <w:sz w:val="18"/>
              <w:szCs w:val="18"/>
            </w:rPr>
            <w:t>-</w:t>
          </w:r>
          <w:proofErr w:type="spellStart"/>
          <w:r w:rsidRPr="00585E86">
            <w:rPr>
              <w:rFonts w:ascii="Book Antiqua" w:hAnsi="Book Antiqua"/>
              <w:sz w:val="18"/>
              <w:szCs w:val="18"/>
            </w:rPr>
            <w:t>6</w:t>
          </w:r>
          <w:r>
            <w:rPr>
              <w:rFonts w:ascii="Book Antiqua" w:hAnsi="Book Antiqua"/>
              <w:sz w:val="18"/>
              <w:szCs w:val="18"/>
            </w:rPr>
            <w:t>92X</w:t>
          </w:r>
          <w:proofErr w:type="spellEnd"/>
        </w:p>
      </w:tc>
    </w:tr>
  </w:tbl>
  <w:p w:rsidR="00F258EB" w:rsidRDefault="00F25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5766"/>
      <w:gridCol w:w="1555"/>
    </w:tblGrid>
    <w:tr w:rsidR="00F258EB" w:rsidRPr="00585E86" w:rsidTr="00F317EB">
      <w:trPr>
        <w:trHeight w:val="80"/>
      </w:trPr>
      <w:tc>
        <w:tcPr>
          <w:tcW w:w="3938" w:type="pct"/>
        </w:tcPr>
        <w:p w:rsidR="00F258EB" w:rsidRPr="000B0092" w:rsidRDefault="00F258EB" w:rsidP="000B0092">
          <w:pPr>
            <w:rPr>
              <w:rFonts w:ascii="Book Antiqua" w:hAnsi="Book Antiqua"/>
              <w:sz w:val="18"/>
              <w:szCs w:val="18"/>
            </w:rPr>
          </w:pPr>
          <w:r w:rsidRPr="000B0092">
            <w:rPr>
              <w:rFonts w:ascii="Book Antiqua" w:hAnsi="Book Antiqua"/>
              <w:sz w:val="18"/>
              <w:szCs w:val="18"/>
            </w:rPr>
            <w:t>Carbon Emission among Indonesian Manufacturing Companies</w:t>
          </w:r>
        </w:p>
      </w:tc>
      <w:tc>
        <w:tcPr>
          <w:tcW w:w="1062" w:type="pct"/>
        </w:tcPr>
        <w:p w:rsidR="00F258EB" w:rsidRPr="00585E86" w:rsidRDefault="00F258EB" w:rsidP="000B0092">
          <w:pPr>
            <w:jc w:val="right"/>
            <w:rPr>
              <w:rFonts w:ascii="Book Antiqua" w:hAnsi="Book Antiqua"/>
              <w:sz w:val="18"/>
              <w:szCs w:val="18"/>
            </w:rPr>
          </w:pPr>
          <w:r>
            <w:rPr>
              <w:rFonts w:ascii="Book Antiqua" w:hAnsi="Book Antiqua"/>
              <w:sz w:val="18"/>
              <w:szCs w:val="18"/>
            </w:rPr>
            <w:t>ISSN 1985</w:t>
          </w:r>
          <w:r w:rsidRPr="00585E86">
            <w:rPr>
              <w:rFonts w:ascii="Book Antiqua" w:hAnsi="Book Antiqua"/>
              <w:sz w:val="18"/>
              <w:szCs w:val="18"/>
            </w:rPr>
            <w:t>-</w:t>
          </w:r>
          <w:proofErr w:type="spellStart"/>
          <w:r w:rsidRPr="00585E86">
            <w:rPr>
              <w:rFonts w:ascii="Book Antiqua" w:hAnsi="Book Antiqua"/>
              <w:sz w:val="18"/>
              <w:szCs w:val="18"/>
            </w:rPr>
            <w:t>6</w:t>
          </w:r>
          <w:r>
            <w:rPr>
              <w:rFonts w:ascii="Book Antiqua" w:hAnsi="Book Antiqua"/>
              <w:sz w:val="18"/>
              <w:szCs w:val="18"/>
            </w:rPr>
            <w:t>92X</w:t>
          </w:r>
          <w:proofErr w:type="spellEnd"/>
        </w:p>
      </w:tc>
    </w:tr>
    <w:tr w:rsidR="00F258EB" w:rsidRPr="00585E86" w:rsidTr="00F22990">
      <w:trPr>
        <w:trHeight w:val="80"/>
      </w:trPr>
      <w:tc>
        <w:tcPr>
          <w:tcW w:w="3938" w:type="pct"/>
        </w:tcPr>
        <w:p w:rsidR="00F258EB" w:rsidRPr="00D23DBF" w:rsidRDefault="00F258EB" w:rsidP="00F22990">
          <w:pPr>
            <w:rPr>
              <w:bCs/>
              <w:sz w:val="18"/>
              <w:szCs w:val="18"/>
            </w:rPr>
          </w:pPr>
        </w:p>
      </w:tc>
      <w:tc>
        <w:tcPr>
          <w:tcW w:w="1062" w:type="pct"/>
        </w:tcPr>
        <w:p w:rsidR="00F258EB" w:rsidRPr="00585E86" w:rsidRDefault="00F258EB" w:rsidP="00F22990">
          <w:pPr>
            <w:jc w:val="right"/>
            <w:rPr>
              <w:rFonts w:ascii="Book Antiqua" w:hAnsi="Book Antiqua"/>
              <w:sz w:val="18"/>
              <w:szCs w:val="18"/>
            </w:rPr>
          </w:pPr>
        </w:p>
      </w:tc>
    </w:tr>
  </w:tbl>
  <w:p w:rsidR="00F258EB" w:rsidRDefault="00F25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41B" w:rsidRDefault="0031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C39"/>
    <w:multiLevelType w:val="hybridMultilevel"/>
    <w:tmpl w:val="C832D43E"/>
    <w:lvl w:ilvl="0" w:tplc="B4CC9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0306D"/>
    <w:multiLevelType w:val="hybridMultilevel"/>
    <w:tmpl w:val="03B207FC"/>
    <w:lvl w:ilvl="0" w:tplc="B4CC9C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923BAF"/>
    <w:multiLevelType w:val="hybridMultilevel"/>
    <w:tmpl w:val="E716D03C"/>
    <w:lvl w:ilvl="0" w:tplc="B4CC9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C0329"/>
    <w:multiLevelType w:val="singleLevel"/>
    <w:tmpl w:val="AA78616A"/>
    <w:lvl w:ilvl="0">
      <w:start w:val="1"/>
      <w:numFmt w:val="bullet"/>
      <w:pStyle w:val="BulletedTxt2"/>
      <w:lvlText w:val=""/>
      <w:lvlJc w:val="left"/>
      <w:pPr>
        <w:tabs>
          <w:tab w:val="num" w:pos="720"/>
        </w:tabs>
        <w:ind w:left="600" w:hanging="240"/>
      </w:pPr>
      <w:rPr>
        <w:rFonts w:ascii="Wingdings" w:hAnsi="Wingdings" w:hint="default"/>
        <w:sz w:val="18"/>
      </w:rPr>
    </w:lvl>
  </w:abstractNum>
  <w:abstractNum w:abstractNumId="4" w15:restartNumberingAfterBreak="0">
    <w:nsid w:val="49922018"/>
    <w:multiLevelType w:val="hybridMultilevel"/>
    <w:tmpl w:val="6D1EB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E7DB1"/>
    <w:multiLevelType w:val="hybridMultilevel"/>
    <w:tmpl w:val="9E443D76"/>
    <w:lvl w:ilvl="0" w:tplc="B4CC9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63947"/>
    <w:multiLevelType w:val="hybridMultilevel"/>
    <w:tmpl w:val="CB728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B7F80"/>
    <w:multiLevelType w:val="hybridMultilevel"/>
    <w:tmpl w:val="3E444244"/>
    <w:lvl w:ilvl="0" w:tplc="B4CC9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46CE3"/>
    <w:multiLevelType w:val="multilevel"/>
    <w:tmpl w:val="1568B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0D119C"/>
    <w:multiLevelType w:val="hybridMultilevel"/>
    <w:tmpl w:val="5FE4266A"/>
    <w:lvl w:ilvl="0" w:tplc="B4CC9C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4A50B2"/>
    <w:multiLevelType w:val="multilevel"/>
    <w:tmpl w:val="EE7EF740"/>
    <w:lvl w:ilvl="0">
      <w:start w:val="1"/>
      <w:numFmt w:val="decimal"/>
      <w:lvlText w:val="%1"/>
      <w:lvlJc w:val="left"/>
      <w:pPr>
        <w:tabs>
          <w:tab w:val="num" w:pos="390"/>
        </w:tabs>
        <w:ind w:left="390" w:hanging="390"/>
      </w:pPr>
      <w:rPr>
        <w:rFonts w:cs="Times New Roman" w:hint="default"/>
        <w:b/>
        <w:bCs/>
        <w:sz w:val="26"/>
        <w:szCs w:val="26"/>
      </w:rPr>
    </w:lvl>
    <w:lvl w:ilvl="1">
      <w:start w:val="1"/>
      <w:numFmt w:val="decimal"/>
      <w:pStyle w:val="firsttitle"/>
      <w:lvlText w:val="%1.%2"/>
      <w:lvlJc w:val="left"/>
      <w:pPr>
        <w:tabs>
          <w:tab w:val="num" w:pos="390"/>
        </w:tabs>
        <w:ind w:left="390" w:hanging="390"/>
      </w:pPr>
      <w:rPr>
        <w:rFonts w:cs="Times New Roman" w:hint="default"/>
        <w:b/>
        <w:bCs/>
        <w:sz w:val="26"/>
        <w:szCs w:val="26"/>
      </w:rPr>
    </w:lvl>
    <w:lvl w:ilvl="2">
      <w:start w:val="1"/>
      <w:numFmt w:val="decimal"/>
      <w:lvlText w:val="%1.%2.%3"/>
      <w:lvlJc w:val="left"/>
      <w:pPr>
        <w:tabs>
          <w:tab w:val="num" w:pos="720"/>
        </w:tabs>
        <w:ind w:left="720" w:hanging="720"/>
      </w:pPr>
      <w:rPr>
        <w:rFonts w:cs="Times New Roman" w:hint="default"/>
        <w:b/>
        <w:bCs/>
        <w:sz w:val="26"/>
        <w:szCs w:val="26"/>
      </w:rPr>
    </w:lvl>
    <w:lvl w:ilvl="3">
      <w:start w:val="1"/>
      <w:numFmt w:val="decimal"/>
      <w:lvlText w:val="%1.%2.%3.%4"/>
      <w:lvlJc w:val="left"/>
      <w:pPr>
        <w:tabs>
          <w:tab w:val="num" w:pos="720"/>
        </w:tabs>
        <w:ind w:left="720" w:hanging="720"/>
      </w:pPr>
      <w:rPr>
        <w:rFonts w:cs="Times New Roman" w:hint="default"/>
        <w:b/>
        <w:bCs/>
        <w:sz w:val="26"/>
        <w:szCs w:val="26"/>
      </w:rPr>
    </w:lvl>
    <w:lvl w:ilvl="4">
      <w:start w:val="1"/>
      <w:numFmt w:val="decimal"/>
      <w:lvlText w:val="%1.%2.%3.%4.%5"/>
      <w:lvlJc w:val="left"/>
      <w:pPr>
        <w:tabs>
          <w:tab w:val="num" w:pos="1080"/>
        </w:tabs>
        <w:ind w:left="1080" w:hanging="1080"/>
      </w:pPr>
      <w:rPr>
        <w:rFonts w:cs="Times New Roman" w:hint="default"/>
        <w:b/>
        <w:bCs/>
        <w:sz w:val="26"/>
        <w:szCs w:val="26"/>
      </w:rPr>
    </w:lvl>
    <w:lvl w:ilvl="5">
      <w:start w:val="1"/>
      <w:numFmt w:val="decimal"/>
      <w:lvlText w:val="%1.%2.%3.%4.%5.%6"/>
      <w:lvlJc w:val="left"/>
      <w:pPr>
        <w:tabs>
          <w:tab w:val="num" w:pos="1080"/>
        </w:tabs>
        <w:ind w:left="1080" w:hanging="1080"/>
      </w:pPr>
      <w:rPr>
        <w:rFonts w:cs="Times New Roman" w:hint="default"/>
        <w:b/>
        <w:bCs/>
        <w:sz w:val="26"/>
        <w:szCs w:val="26"/>
      </w:rPr>
    </w:lvl>
    <w:lvl w:ilvl="6">
      <w:start w:val="1"/>
      <w:numFmt w:val="decimal"/>
      <w:lvlText w:val="%1.%2.%3.%4.%5.%6.%7"/>
      <w:lvlJc w:val="left"/>
      <w:pPr>
        <w:tabs>
          <w:tab w:val="num" w:pos="1440"/>
        </w:tabs>
        <w:ind w:left="1440" w:hanging="1440"/>
      </w:pPr>
      <w:rPr>
        <w:rFonts w:cs="Times New Roman" w:hint="default"/>
        <w:b/>
        <w:bCs/>
        <w:sz w:val="26"/>
        <w:szCs w:val="26"/>
      </w:rPr>
    </w:lvl>
    <w:lvl w:ilvl="7">
      <w:start w:val="1"/>
      <w:numFmt w:val="decimal"/>
      <w:lvlText w:val="%1.%2.%3.%4.%5.%6.%7.%8"/>
      <w:lvlJc w:val="left"/>
      <w:pPr>
        <w:tabs>
          <w:tab w:val="num" w:pos="1440"/>
        </w:tabs>
        <w:ind w:left="1440" w:hanging="1440"/>
      </w:pPr>
      <w:rPr>
        <w:rFonts w:cs="Times New Roman" w:hint="default"/>
        <w:b/>
        <w:bCs/>
        <w:sz w:val="26"/>
        <w:szCs w:val="26"/>
      </w:rPr>
    </w:lvl>
    <w:lvl w:ilvl="8">
      <w:start w:val="1"/>
      <w:numFmt w:val="decimal"/>
      <w:lvlText w:val="%1.%2.%3.%4.%5.%6.%7.%8.%9"/>
      <w:lvlJc w:val="left"/>
      <w:pPr>
        <w:tabs>
          <w:tab w:val="num" w:pos="1800"/>
        </w:tabs>
        <w:ind w:left="1800" w:hanging="1800"/>
      </w:pPr>
      <w:rPr>
        <w:rFonts w:cs="Times New Roman" w:hint="default"/>
        <w:b/>
        <w:bCs/>
        <w:sz w:val="26"/>
        <w:szCs w:val="26"/>
      </w:rPr>
    </w:lvl>
  </w:abstractNum>
  <w:num w:numId="1">
    <w:abstractNumId w:val="3"/>
  </w:num>
  <w:num w:numId="2">
    <w:abstractNumId w:val="6"/>
  </w:num>
  <w:num w:numId="3">
    <w:abstractNumId w:val="4"/>
  </w:num>
  <w:num w:numId="4">
    <w:abstractNumId w:val="7"/>
  </w:num>
  <w:num w:numId="5">
    <w:abstractNumId w:val="5"/>
  </w:num>
  <w:num w:numId="6">
    <w:abstractNumId w:val="2"/>
  </w:num>
  <w:num w:numId="7">
    <w:abstractNumId w:val="9"/>
  </w:num>
  <w:num w:numId="8">
    <w:abstractNumId w:val="1"/>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00"/>
    <w:rsid w:val="000008B5"/>
    <w:rsid w:val="00001AAE"/>
    <w:rsid w:val="00006EB5"/>
    <w:rsid w:val="00010764"/>
    <w:rsid w:val="0001130E"/>
    <w:rsid w:val="00017F32"/>
    <w:rsid w:val="00023063"/>
    <w:rsid w:val="00024DEC"/>
    <w:rsid w:val="0002725E"/>
    <w:rsid w:val="0003087A"/>
    <w:rsid w:val="00033227"/>
    <w:rsid w:val="00033AA4"/>
    <w:rsid w:val="0004189E"/>
    <w:rsid w:val="00043685"/>
    <w:rsid w:val="0004493F"/>
    <w:rsid w:val="00046078"/>
    <w:rsid w:val="00047DB0"/>
    <w:rsid w:val="000518D7"/>
    <w:rsid w:val="000518E0"/>
    <w:rsid w:val="00051BC0"/>
    <w:rsid w:val="00057D11"/>
    <w:rsid w:val="00060E72"/>
    <w:rsid w:val="000613DC"/>
    <w:rsid w:val="00063326"/>
    <w:rsid w:val="0007020B"/>
    <w:rsid w:val="00081CEE"/>
    <w:rsid w:val="00090789"/>
    <w:rsid w:val="0009738B"/>
    <w:rsid w:val="000A25F7"/>
    <w:rsid w:val="000A299D"/>
    <w:rsid w:val="000A39FC"/>
    <w:rsid w:val="000A4C44"/>
    <w:rsid w:val="000A7281"/>
    <w:rsid w:val="000B0092"/>
    <w:rsid w:val="000B00E7"/>
    <w:rsid w:val="000B6103"/>
    <w:rsid w:val="000B6571"/>
    <w:rsid w:val="000B65B4"/>
    <w:rsid w:val="000C16FF"/>
    <w:rsid w:val="000C3CD0"/>
    <w:rsid w:val="000C60FB"/>
    <w:rsid w:val="000D40BF"/>
    <w:rsid w:val="000E1BA8"/>
    <w:rsid w:val="000E32A8"/>
    <w:rsid w:val="000F17E9"/>
    <w:rsid w:val="000F7658"/>
    <w:rsid w:val="00103EB9"/>
    <w:rsid w:val="001067B2"/>
    <w:rsid w:val="001106B6"/>
    <w:rsid w:val="00110D62"/>
    <w:rsid w:val="00125FFD"/>
    <w:rsid w:val="0012654A"/>
    <w:rsid w:val="00135B5B"/>
    <w:rsid w:val="00136669"/>
    <w:rsid w:val="00137EF3"/>
    <w:rsid w:val="00142725"/>
    <w:rsid w:val="00151910"/>
    <w:rsid w:val="00154F42"/>
    <w:rsid w:val="0016065A"/>
    <w:rsid w:val="00161A58"/>
    <w:rsid w:val="001720BF"/>
    <w:rsid w:val="0017287F"/>
    <w:rsid w:val="00172ACF"/>
    <w:rsid w:val="00174FE8"/>
    <w:rsid w:val="001766A7"/>
    <w:rsid w:val="0018659A"/>
    <w:rsid w:val="001902BF"/>
    <w:rsid w:val="00195E88"/>
    <w:rsid w:val="001A1CDD"/>
    <w:rsid w:val="001A492E"/>
    <w:rsid w:val="001A6C1C"/>
    <w:rsid w:val="001B6C98"/>
    <w:rsid w:val="001C4104"/>
    <w:rsid w:val="001C6959"/>
    <w:rsid w:val="001D2815"/>
    <w:rsid w:val="001D37AD"/>
    <w:rsid w:val="001D3981"/>
    <w:rsid w:val="001E0793"/>
    <w:rsid w:val="001E0AAE"/>
    <w:rsid w:val="001E2CF7"/>
    <w:rsid w:val="001E34FA"/>
    <w:rsid w:val="001E494C"/>
    <w:rsid w:val="001E645C"/>
    <w:rsid w:val="001E68EF"/>
    <w:rsid w:val="001E6E4B"/>
    <w:rsid w:val="001F1D20"/>
    <w:rsid w:val="001F38AA"/>
    <w:rsid w:val="001F3BE5"/>
    <w:rsid w:val="001F3D10"/>
    <w:rsid w:val="001F512F"/>
    <w:rsid w:val="00202604"/>
    <w:rsid w:val="00205F5E"/>
    <w:rsid w:val="00214154"/>
    <w:rsid w:val="00214547"/>
    <w:rsid w:val="002162F5"/>
    <w:rsid w:val="00216F33"/>
    <w:rsid w:val="002206B0"/>
    <w:rsid w:val="00220C35"/>
    <w:rsid w:val="00223434"/>
    <w:rsid w:val="00226C0E"/>
    <w:rsid w:val="00234D74"/>
    <w:rsid w:val="00240B27"/>
    <w:rsid w:val="00242B08"/>
    <w:rsid w:val="002451A5"/>
    <w:rsid w:val="002508A6"/>
    <w:rsid w:val="00253F33"/>
    <w:rsid w:val="0025402A"/>
    <w:rsid w:val="00257063"/>
    <w:rsid w:val="00261729"/>
    <w:rsid w:val="002617DE"/>
    <w:rsid w:val="0026456F"/>
    <w:rsid w:val="002716BF"/>
    <w:rsid w:val="00274A37"/>
    <w:rsid w:val="00277FC9"/>
    <w:rsid w:val="00280678"/>
    <w:rsid w:val="00284F66"/>
    <w:rsid w:val="00290132"/>
    <w:rsid w:val="00290581"/>
    <w:rsid w:val="00290B8F"/>
    <w:rsid w:val="00292CF9"/>
    <w:rsid w:val="002A5930"/>
    <w:rsid w:val="002A66A3"/>
    <w:rsid w:val="002B61FD"/>
    <w:rsid w:val="002B7C18"/>
    <w:rsid w:val="002C2746"/>
    <w:rsid w:val="002C2B7C"/>
    <w:rsid w:val="002C7BB2"/>
    <w:rsid w:val="002D014D"/>
    <w:rsid w:val="002D2E8B"/>
    <w:rsid w:val="002D3969"/>
    <w:rsid w:val="002E1455"/>
    <w:rsid w:val="002E21FE"/>
    <w:rsid w:val="002E4DF2"/>
    <w:rsid w:val="002F0958"/>
    <w:rsid w:val="002F2136"/>
    <w:rsid w:val="002F6CC5"/>
    <w:rsid w:val="003025BA"/>
    <w:rsid w:val="00303C9E"/>
    <w:rsid w:val="0031341B"/>
    <w:rsid w:val="0031432C"/>
    <w:rsid w:val="00317C44"/>
    <w:rsid w:val="003202D4"/>
    <w:rsid w:val="00320C02"/>
    <w:rsid w:val="00321B92"/>
    <w:rsid w:val="00322341"/>
    <w:rsid w:val="00330B2F"/>
    <w:rsid w:val="00344650"/>
    <w:rsid w:val="00355D2F"/>
    <w:rsid w:val="003638C1"/>
    <w:rsid w:val="00364207"/>
    <w:rsid w:val="00364415"/>
    <w:rsid w:val="0036468D"/>
    <w:rsid w:val="00371323"/>
    <w:rsid w:val="0037178B"/>
    <w:rsid w:val="00372ED6"/>
    <w:rsid w:val="00385F09"/>
    <w:rsid w:val="003911E4"/>
    <w:rsid w:val="003950C8"/>
    <w:rsid w:val="00395B26"/>
    <w:rsid w:val="003960D3"/>
    <w:rsid w:val="003A0541"/>
    <w:rsid w:val="003A25BB"/>
    <w:rsid w:val="003A69E0"/>
    <w:rsid w:val="003B19BA"/>
    <w:rsid w:val="003B388B"/>
    <w:rsid w:val="003B4CDD"/>
    <w:rsid w:val="003B55DE"/>
    <w:rsid w:val="003C013E"/>
    <w:rsid w:val="003E4174"/>
    <w:rsid w:val="003F0629"/>
    <w:rsid w:val="003F2CFF"/>
    <w:rsid w:val="003F3789"/>
    <w:rsid w:val="003F510C"/>
    <w:rsid w:val="003F5FDD"/>
    <w:rsid w:val="00400A74"/>
    <w:rsid w:val="00401410"/>
    <w:rsid w:val="0040169D"/>
    <w:rsid w:val="00402490"/>
    <w:rsid w:val="00405EC8"/>
    <w:rsid w:val="0040602D"/>
    <w:rsid w:val="00420327"/>
    <w:rsid w:val="00423B22"/>
    <w:rsid w:val="0042544F"/>
    <w:rsid w:val="00426820"/>
    <w:rsid w:val="00431D5E"/>
    <w:rsid w:val="00437B50"/>
    <w:rsid w:val="0044222E"/>
    <w:rsid w:val="0045216E"/>
    <w:rsid w:val="004530BD"/>
    <w:rsid w:val="004540E9"/>
    <w:rsid w:val="00455B53"/>
    <w:rsid w:val="004602D9"/>
    <w:rsid w:val="00461093"/>
    <w:rsid w:val="004616FB"/>
    <w:rsid w:val="0046265B"/>
    <w:rsid w:val="00472BE1"/>
    <w:rsid w:val="0048239C"/>
    <w:rsid w:val="0048310E"/>
    <w:rsid w:val="004859C1"/>
    <w:rsid w:val="00490F86"/>
    <w:rsid w:val="00491834"/>
    <w:rsid w:val="00493D39"/>
    <w:rsid w:val="004965F3"/>
    <w:rsid w:val="00496CCC"/>
    <w:rsid w:val="004A4ABC"/>
    <w:rsid w:val="004B1696"/>
    <w:rsid w:val="004B792C"/>
    <w:rsid w:val="004C1FF3"/>
    <w:rsid w:val="004C3643"/>
    <w:rsid w:val="004C7A9F"/>
    <w:rsid w:val="004D0EB3"/>
    <w:rsid w:val="004D4C84"/>
    <w:rsid w:val="004D7940"/>
    <w:rsid w:val="004E0F8C"/>
    <w:rsid w:val="004E239A"/>
    <w:rsid w:val="004E6B44"/>
    <w:rsid w:val="004F0543"/>
    <w:rsid w:val="004F2F94"/>
    <w:rsid w:val="004F78B8"/>
    <w:rsid w:val="00500B00"/>
    <w:rsid w:val="00504131"/>
    <w:rsid w:val="005075B7"/>
    <w:rsid w:val="005110B9"/>
    <w:rsid w:val="0051356A"/>
    <w:rsid w:val="00513C5F"/>
    <w:rsid w:val="005145E9"/>
    <w:rsid w:val="00520D1C"/>
    <w:rsid w:val="00522E33"/>
    <w:rsid w:val="0052350C"/>
    <w:rsid w:val="00523AEF"/>
    <w:rsid w:val="005312A4"/>
    <w:rsid w:val="005327A6"/>
    <w:rsid w:val="00533E73"/>
    <w:rsid w:val="005360C9"/>
    <w:rsid w:val="00536A8D"/>
    <w:rsid w:val="00541E8E"/>
    <w:rsid w:val="00541F95"/>
    <w:rsid w:val="0054784B"/>
    <w:rsid w:val="00554EB2"/>
    <w:rsid w:val="00561E96"/>
    <w:rsid w:val="005662B1"/>
    <w:rsid w:val="005717FE"/>
    <w:rsid w:val="005752C2"/>
    <w:rsid w:val="00576A40"/>
    <w:rsid w:val="00580283"/>
    <w:rsid w:val="00583E12"/>
    <w:rsid w:val="00591465"/>
    <w:rsid w:val="00592B2D"/>
    <w:rsid w:val="005A281D"/>
    <w:rsid w:val="005B0E48"/>
    <w:rsid w:val="005B12AD"/>
    <w:rsid w:val="005B2AC4"/>
    <w:rsid w:val="005B4591"/>
    <w:rsid w:val="005B6812"/>
    <w:rsid w:val="005C1C76"/>
    <w:rsid w:val="005C4E79"/>
    <w:rsid w:val="005C538F"/>
    <w:rsid w:val="005C6810"/>
    <w:rsid w:val="005C7FC2"/>
    <w:rsid w:val="005D0611"/>
    <w:rsid w:val="005D3E3C"/>
    <w:rsid w:val="005D58E9"/>
    <w:rsid w:val="005E0684"/>
    <w:rsid w:val="005E493C"/>
    <w:rsid w:val="005E57D3"/>
    <w:rsid w:val="005E7B29"/>
    <w:rsid w:val="005F734D"/>
    <w:rsid w:val="00600D1E"/>
    <w:rsid w:val="00605D6A"/>
    <w:rsid w:val="00605E4A"/>
    <w:rsid w:val="00617177"/>
    <w:rsid w:val="00643264"/>
    <w:rsid w:val="0064375D"/>
    <w:rsid w:val="006452E0"/>
    <w:rsid w:val="006468A9"/>
    <w:rsid w:val="00647C63"/>
    <w:rsid w:val="00651016"/>
    <w:rsid w:val="0065481D"/>
    <w:rsid w:val="00663515"/>
    <w:rsid w:val="00670DC1"/>
    <w:rsid w:val="00671864"/>
    <w:rsid w:val="00674C03"/>
    <w:rsid w:val="00680215"/>
    <w:rsid w:val="00681092"/>
    <w:rsid w:val="00682DE4"/>
    <w:rsid w:val="006943AD"/>
    <w:rsid w:val="00695CF4"/>
    <w:rsid w:val="006A3312"/>
    <w:rsid w:val="006A47DD"/>
    <w:rsid w:val="006B0674"/>
    <w:rsid w:val="006B0DF8"/>
    <w:rsid w:val="006B5F00"/>
    <w:rsid w:val="006C186D"/>
    <w:rsid w:val="006C1B09"/>
    <w:rsid w:val="006C2839"/>
    <w:rsid w:val="006C59CB"/>
    <w:rsid w:val="006C5C9A"/>
    <w:rsid w:val="006D6858"/>
    <w:rsid w:val="006E1623"/>
    <w:rsid w:val="006E2000"/>
    <w:rsid w:val="006E25BD"/>
    <w:rsid w:val="006E2FDC"/>
    <w:rsid w:val="006E5947"/>
    <w:rsid w:val="006E690D"/>
    <w:rsid w:val="006E7224"/>
    <w:rsid w:val="006F2F85"/>
    <w:rsid w:val="006F4E11"/>
    <w:rsid w:val="006F536A"/>
    <w:rsid w:val="00704041"/>
    <w:rsid w:val="00710285"/>
    <w:rsid w:val="00714EC9"/>
    <w:rsid w:val="007169E8"/>
    <w:rsid w:val="00717B43"/>
    <w:rsid w:val="0072020E"/>
    <w:rsid w:val="00720926"/>
    <w:rsid w:val="00727B2E"/>
    <w:rsid w:val="00733B53"/>
    <w:rsid w:val="0073473E"/>
    <w:rsid w:val="00736B1B"/>
    <w:rsid w:val="00740F9B"/>
    <w:rsid w:val="0074414D"/>
    <w:rsid w:val="007460B5"/>
    <w:rsid w:val="00751DCB"/>
    <w:rsid w:val="00765847"/>
    <w:rsid w:val="00773165"/>
    <w:rsid w:val="00773A36"/>
    <w:rsid w:val="00775C22"/>
    <w:rsid w:val="00776330"/>
    <w:rsid w:val="007A0B8E"/>
    <w:rsid w:val="007A3551"/>
    <w:rsid w:val="007B079B"/>
    <w:rsid w:val="007B0D49"/>
    <w:rsid w:val="007B10EB"/>
    <w:rsid w:val="007B7DA8"/>
    <w:rsid w:val="007C3224"/>
    <w:rsid w:val="007C7E21"/>
    <w:rsid w:val="007D2DBF"/>
    <w:rsid w:val="007D4621"/>
    <w:rsid w:val="007D4CB0"/>
    <w:rsid w:val="007E40BB"/>
    <w:rsid w:val="007E6FA4"/>
    <w:rsid w:val="007F108A"/>
    <w:rsid w:val="007F7A7E"/>
    <w:rsid w:val="007F7E05"/>
    <w:rsid w:val="008012BA"/>
    <w:rsid w:val="0080287C"/>
    <w:rsid w:val="00813828"/>
    <w:rsid w:val="00822CBB"/>
    <w:rsid w:val="00822FFE"/>
    <w:rsid w:val="0082318F"/>
    <w:rsid w:val="00823F14"/>
    <w:rsid w:val="00823F34"/>
    <w:rsid w:val="00831CAC"/>
    <w:rsid w:val="00835608"/>
    <w:rsid w:val="008431FC"/>
    <w:rsid w:val="00845C4F"/>
    <w:rsid w:val="00852BAB"/>
    <w:rsid w:val="00856FFA"/>
    <w:rsid w:val="0085776F"/>
    <w:rsid w:val="008626BF"/>
    <w:rsid w:val="00864A35"/>
    <w:rsid w:val="00867449"/>
    <w:rsid w:val="00874B69"/>
    <w:rsid w:val="0087794F"/>
    <w:rsid w:val="00892663"/>
    <w:rsid w:val="008956FF"/>
    <w:rsid w:val="00896558"/>
    <w:rsid w:val="00896B70"/>
    <w:rsid w:val="008A6C68"/>
    <w:rsid w:val="008B61AB"/>
    <w:rsid w:val="008C6488"/>
    <w:rsid w:val="008C79F4"/>
    <w:rsid w:val="008D2E29"/>
    <w:rsid w:val="008D348C"/>
    <w:rsid w:val="008D7DAA"/>
    <w:rsid w:val="008E268A"/>
    <w:rsid w:val="008E468C"/>
    <w:rsid w:val="008E5A6B"/>
    <w:rsid w:val="008F493D"/>
    <w:rsid w:val="008F77DC"/>
    <w:rsid w:val="009110AC"/>
    <w:rsid w:val="00912401"/>
    <w:rsid w:val="00912937"/>
    <w:rsid w:val="00914DB5"/>
    <w:rsid w:val="0091775C"/>
    <w:rsid w:val="00920FBF"/>
    <w:rsid w:val="0092165E"/>
    <w:rsid w:val="00933196"/>
    <w:rsid w:val="00934FF8"/>
    <w:rsid w:val="00942827"/>
    <w:rsid w:val="009470FD"/>
    <w:rsid w:val="009479B8"/>
    <w:rsid w:val="0095050D"/>
    <w:rsid w:val="00950516"/>
    <w:rsid w:val="00953D9B"/>
    <w:rsid w:val="009605F4"/>
    <w:rsid w:val="00961548"/>
    <w:rsid w:val="00963646"/>
    <w:rsid w:val="00963857"/>
    <w:rsid w:val="0096653A"/>
    <w:rsid w:val="00970D88"/>
    <w:rsid w:val="009742B7"/>
    <w:rsid w:val="00976AC1"/>
    <w:rsid w:val="009809F3"/>
    <w:rsid w:val="0098283B"/>
    <w:rsid w:val="00991FBC"/>
    <w:rsid w:val="00992B38"/>
    <w:rsid w:val="0099777E"/>
    <w:rsid w:val="009A2091"/>
    <w:rsid w:val="009A4B22"/>
    <w:rsid w:val="009A604A"/>
    <w:rsid w:val="009C180E"/>
    <w:rsid w:val="009C7180"/>
    <w:rsid w:val="009D0275"/>
    <w:rsid w:val="009D0EC5"/>
    <w:rsid w:val="009D7255"/>
    <w:rsid w:val="009F3DFE"/>
    <w:rsid w:val="009F6CD9"/>
    <w:rsid w:val="00A00BAC"/>
    <w:rsid w:val="00A0547D"/>
    <w:rsid w:val="00A06532"/>
    <w:rsid w:val="00A0739C"/>
    <w:rsid w:val="00A12B77"/>
    <w:rsid w:val="00A13003"/>
    <w:rsid w:val="00A14AD5"/>
    <w:rsid w:val="00A16E19"/>
    <w:rsid w:val="00A17B2D"/>
    <w:rsid w:val="00A21435"/>
    <w:rsid w:val="00A30BDC"/>
    <w:rsid w:val="00A3138A"/>
    <w:rsid w:val="00A330C9"/>
    <w:rsid w:val="00A33D22"/>
    <w:rsid w:val="00A34047"/>
    <w:rsid w:val="00A4066E"/>
    <w:rsid w:val="00A42A3E"/>
    <w:rsid w:val="00A43DEA"/>
    <w:rsid w:val="00A47782"/>
    <w:rsid w:val="00A63D87"/>
    <w:rsid w:val="00A65AF1"/>
    <w:rsid w:val="00A66032"/>
    <w:rsid w:val="00A7016A"/>
    <w:rsid w:val="00A70928"/>
    <w:rsid w:val="00A9760D"/>
    <w:rsid w:val="00AB38E7"/>
    <w:rsid w:val="00AD2EFC"/>
    <w:rsid w:val="00AE0DC0"/>
    <w:rsid w:val="00AE1D33"/>
    <w:rsid w:val="00AE7E6F"/>
    <w:rsid w:val="00AF21B4"/>
    <w:rsid w:val="00AF7870"/>
    <w:rsid w:val="00B02E4D"/>
    <w:rsid w:val="00B03584"/>
    <w:rsid w:val="00B03946"/>
    <w:rsid w:val="00B04292"/>
    <w:rsid w:val="00B1205D"/>
    <w:rsid w:val="00B13A61"/>
    <w:rsid w:val="00B2132C"/>
    <w:rsid w:val="00B33A1C"/>
    <w:rsid w:val="00B34181"/>
    <w:rsid w:val="00B34EB9"/>
    <w:rsid w:val="00B3627B"/>
    <w:rsid w:val="00B377C9"/>
    <w:rsid w:val="00B437B3"/>
    <w:rsid w:val="00B527CB"/>
    <w:rsid w:val="00B71297"/>
    <w:rsid w:val="00B715B0"/>
    <w:rsid w:val="00B72B22"/>
    <w:rsid w:val="00B766D5"/>
    <w:rsid w:val="00B76764"/>
    <w:rsid w:val="00B76D4A"/>
    <w:rsid w:val="00B7764A"/>
    <w:rsid w:val="00B8060B"/>
    <w:rsid w:val="00B81355"/>
    <w:rsid w:val="00B82E63"/>
    <w:rsid w:val="00B90F90"/>
    <w:rsid w:val="00B92619"/>
    <w:rsid w:val="00B93C6D"/>
    <w:rsid w:val="00B958A8"/>
    <w:rsid w:val="00BA2A2A"/>
    <w:rsid w:val="00BA7AA3"/>
    <w:rsid w:val="00BB4FA8"/>
    <w:rsid w:val="00BB63AF"/>
    <w:rsid w:val="00BB6518"/>
    <w:rsid w:val="00BC2CC2"/>
    <w:rsid w:val="00BF23C7"/>
    <w:rsid w:val="00BF2963"/>
    <w:rsid w:val="00BF4737"/>
    <w:rsid w:val="00BF612E"/>
    <w:rsid w:val="00BF6D58"/>
    <w:rsid w:val="00C068CA"/>
    <w:rsid w:val="00C11E55"/>
    <w:rsid w:val="00C13367"/>
    <w:rsid w:val="00C138D8"/>
    <w:rsid w:val="00C14E6A"/>
    <w:rsid w:val="00C16FDB"/>
    <w:rsid w:val="00C22128"/>
    <w:rsid w:val="00C2550C"/>
    <w:rsid w:val="00C2583D"/>
    <w:rsid w:val="00C30CFE"/>
    <w:rsid w:val="00C3267D"/>
    <w:rsid w:val="00C35AD1"/>
    <w:rsid w:val="00C41196"/>
    <w:rsid w:val="00C418F5"/>
    <w:rsid w:val="00C431D0"/>
    <w:rsid w:val="00C47395"/>
    <w:rsid w:val="00C50375"/>
    <w:rsid w:val="00C529A9"/>
    <w:rsid w:val="00C529FE"/>
    <w:rsid w:val="00C56E27"/>
    <w:rsid w:val="00C63828"/>
    <w:rsid w:val="00C77C35"/>
    <w:rsid w:val="00C86362"/>
    <w:rsid w:val="00C870F2"/>
    <w:rsid w:val="00C93F57"/>
    <w:rsid w:val="00CA0312"/>
    <w:rsid w:val="00CA28E5"/>
    <w:rsid w:val="00CA2E98"/>
    <w:rsid w:val="00CA3664"/>
    <w:rsid w:val="00CA5739"/>
    <w:rsid w:val="00CB2B39"/>
    <w:rsid w:val="00CB47AA"/>
    <w:rsid w:val="00CB5FD4"/>
    <w:rsid w:val="00CB72A8"/>
    <w:rsid w:val="00CC5520"/>
    <w:rsid w:val="00CC6469"/>
    <w:rsid w:val="00CD5EB4"/>
    <w:rsid w:val="00CE1D6B"/>
    <w:rsid w:val="00CE3657"/>
    <w:rsid w:val="00CE4DD1"/>
    <w:rsid w:val="00CE6EB5"/>
    <w:rsid w:val="00CE7A35"/>
    <w:rsid w:val="00CF07F5"/>
    <w:rsid w:val="00CF13E4"/>
    <w:rsid w:val="00CF2534"/>
    <w:rsid w:val="00CF4663"/>
    <w:rsid w:val="00CF5A9D"/>
    <w:rsid w:val="00D018AB"/>
    <w:rsid w:val="00D0529D"/>
    <w:rsid w:val="00D120B2"/>
    <w:rsid w:val="00D124D6"/>
    <w:rsid w:val="00D22E3E"/>
    <w:rsid w:val="00D23DBF"/>
    <w:rsid w:val="00D25E75"/>
    <w:rsid w:val="00D366AA"/>
    <w:rsid w:val="00D44EF0"/>
    <w:rsid w:val="00D4538B"/>
    <w:rsid w:val="00D559E6"/>
    <w:rsid w:val="00D6105C"/>
    <w:rsid w:val="00D61D7E"/>
    <w:rsid w:val="00D62413"/>
    <w:rsid w:val="00D65561"/>
    <w:rsid w:val="00D670D5"/>
    <w:rsid w:val="00D70491"/>
    <w:rsid w:val="00D744E9"/>
    <w:rsid w:val="00D80002"/>
    <w:rsid w:val="00D85567"/>
    <w:rsid w:val="00D86750"/>
    <w:rsid w:val="00D9520C"/>
    <w:rsid w:val="00D9580E"/>
    <w:rsid w:val="00D97BCE"/>
    <w:rsid w:val="00DA4B6A"/>
    <w:rsid w:val="00DA5D94"/>
    <w:rsid w:val="00DB012E"/>
    <w:rsid w:val="00DB1C1B"/>
    <w:rsid w:val="00DB51A5"/>
    <w:rsid w:val="00DB5493"/>
    <w:rsid w:val="00DC0C8E"/>
    <w:rsid w:val="00DC20A8"/>
    <w:rsid w:val="00DC2203"/>
    <w:rsid w:val="00DC412D"/>
    <w:rsid w:val="00DC7D3B"/>
    <w:rsid w:val="00DD35AB"/>
    <w:rsid w:val="00DD52C2"/>
    <w:rsid w:val="00DD79ED"/>
    <w:rsid w:val="00DE2A7C"/>
    <w:rsid w:val="00DE5D9D"/>
    <w:rsid w:val="00DF39EA"/>
    <w:rsid w:val="00DF5C76"/>
    <w:rsid w:val="00DF6EB7"/>
    <w:rsid w:val="00E0486A"/>
    <w:rsid w:val="00E05858"/>
    <w:rsid w:val="00E12BB1"/>
    <w:rsid w:val="00E14080"/>
    <w:rsid w:val="00E15CF4"/>
    <w:rsid w:val="00E1674B"/>
    <w:rsid w:val="00E216DA"/>
    <w:rsid w:val="00E22C7D"/>
    <w:rsid w:val="00E26EB7"/>
    <w:rsid w:val="00E3056D"/>
    <w:rsid w:val="00E3126F"/>
    <w:rsid w:val="00E31315"/>
    <w:rsid w:val="00E31BE1"/>
    <w:rsid w:val="00E3625B"/>
    <w:rsid w:val="00E3778D"/>
    <w:rsid w:val="00E41437"/>
    <w:rsid w:val="00E4299D"/>
    <w:rsid w:val="00E44DC5"/>
    <w:rsid w:val="00E51230"/>
    <w:rsid w:val="00E53FEF"/>
    <w:rsid w:val="00E55500"/>
    <w:rsid w:val="00E65134"/>
    <w:rsid w:val="00E6669E"/>
    <w:rsid w:val="00E722DD"/>
    <w:rsid w:val="00E736DF"/>
    <w:rsid w:val="00E7484A"/>
    <w:rsid w:val="00E77B20"/>
    <w:rsid w:val="00E96A67"/>
    <w:rsid w:val="00E97628"/>
    <w:rsid w:val="00EA095F"/>
    <w:rsid w:val="00EA58CF"/>
    <w:rsid w:val="00EB2DBE"/>
    <w:rsid w:val="00EB7D17"/>
    <w:rsid w:val="00EC056E"/>
    <w:rsid w:val="00EC0A6D"/>
    <w:rsid w:val="00EC2F26"/>
    <w:rsid w:val="00EC3210"/>
    <w:rsid w:val="00EC5453"/>
    <w:rsid w:val="00ED0833"/>
    <w:rsid w:val="00ED6E8D"/>
    <w:rsid w:val="00ED7F1F"/>
    <w:rsid w:val="00EE110C"/>
    <w:rsid w:val="00EE1E3B"/>
    <w:rsid w:val="00EE31F7"/>
    <w:rsid w:val="00EE52B4"/>
    <w:rsid w:val="00EE5AAC"/>
    <w:rsid w:val="00EE69E6"/>
    <w:rsid w:val="00EF4587"/>
    <w:rsid w:val="00EF65BC"/>
    <w:rsid w:val="00F02AF1"/>
    <w:rsid w:val="00F07A1E"/>
    <w:rsid w:val="00F103FC"/>
    <w:rsid w:val="00F17CAE"/>
    <w:rsid w:val="00F22990"/>
    <w:rsid w:val="00F258EB"/>
    <w:rsid w:val="00F317EB"/>
    <w:rsid w:val="00F32823"/>
    <w:rsid w:val="00F32F42"/>
    <w:rsid w:val="00F34072"/>
    <w:rsid w:val="00F34FAB"/>
    <w:rsid w:val="00F4527E"/>
    <w:rsid w:val="00F52391"/>
    <w:rsid w:val="00F56F94"/>
    <w:rsid w:val="00F670CB"/>
    <w:rsid w:val="00F73DDC"/>
    <w:rsid w:val="00F81BDC"/>
    <w:rsid w:val="00F844AA"/>
    <w:rsid w:val="00F854D7"/>
    <w:rsid w:val="00F869C9"/>
    <w:rsid w:val="00F904F9"/>
    <w:rsid w:val="00F92030"/>
    <w:rsid w:val="00F93BAD"/>
    <w:rsid w:val="00FA0274"/>
    <w:rsid w:val="00FA100D"/>
    <w:rsid w:val="00FA297B"/>
    <w:rsid w:val="00FB3959"/>
    <w:rsid w:val="00FB6205"/>
    <w:rsid w:val="00FB7079"/>
    <w:rsid w:val="00FB71A3"/>
    <w:rsid w:val="00FC381D"/>
    <w:rsid w:val="00FD2532"/>
    <w:rsid w:val="00FD298D"/>
    <w:rsid w:val="00FD3224"/>
    <w:rsid w:val="00FD51B8"/>
    <w:rsid w:val="00FE111E"/>
    <w:rsid w:val="00FF0641"/>
    <w:rsid w:val="00FF2744"/>
    <w:rsid w:val="00FF3D40"/>
    <w:rsid w:val="00FF7E3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208B6"/>
  <w15:docId w15:val="{A64CE6AB-B2FD-434A-B310-249D0118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C03"/>
    <w:rPr>
      <w:sz w:val="24"/>
      <w:szCs w:val="24"/>
      <w:lang w:val="en-US" w:eastAsia="en-US"/>
    </w:rPr>
  </w:style>
  <w:style w:type="paragraph" w:styleId="Heading1">
    <w:name w:val="heading 1"/>
    <w:basedOn w:val="Normal"/>
    <w:next w:val="Normal"/>
    <w:link w:val="Heading1Char"/>
    <w:uiPriority w:val="9"/>
    <w:qFormat/>
    <w:rsid w:val="00674C03"/>
    <w:pPr>
      <w:keepNext/>
      <w:spacing w:line="480" w:lineRule="auto"/>
      <w:jc w:val="both"/>
      <w:outlineLvl w:val="0"/>
    </w:pPr>
    <w:rPr>
      <w:rFonts w:ascii="Times" w:hAnsi="Times"/>
      <w:b/>
      <w:szCs w:val="20"/>
    </w:rPr>
  </w:style>
  <w:style w:type="paragraph" w:styleId="Heading2">
    <w:name w:val="heading 2"/>
    <w:basedOn w:val="Normal"/>
    <w:next w:val="Normal"/>
    <w:qFormat/>
    <w:rsid w:val="00674C03"/>
    <w:pPr>
      <w:keepNext/>
      <w:spacing w:line="480" w:lineRule="auto"/>
      <w:jc w:val="both"/>
      <w:outlineLvl w:val="1"/>
    </w:pPr>
    <w:rPr>
      <w:rFonts w:ascii="Times" w:hAnsi="Times"/>
      <w:b/>
      <w:i/>
      <w:szCs w:val="20"/>
    </w:rPr>
  </w:style>
  <w:style w:type="paragraph" w:styleId="Heading3">
    <w:name w:val="heading 3"/>
    <w:basedOn w:val="Normal"/>
    <w:next w:val="Normal"/>
    <w:qFormat/>
    <w:rsid w:val="00674C03"/>
    <w:pPr>
      <w:keepNext/>
      <w:spacing w:line="480" w:lineRule="auto"/>
      <w:jc w:val="center"/>
      <w:outlineLvl w:val="2"/>
    </w:pPr>
    <w:rPr>
      <w:rFonts w:ascii="Times" w:hAnsi="Times"/>
      <w:szCs w:val="20"/>
    </w:rPr>
  </w:style>
  <w:style w:type="paragraph" w:styleId="Heading4">
    <w:name w:val="heading 4"/>
    <w:basedOn w:val="Normal"/>
    <w:next w:val="Normal"/>
    <w:qFormat/>
    <w:rsid w:val="00674C03"/>
    <w:pPr>
      <w:keepNext/>
      <w:ind w:left="720"/>
      <w:jc w:val="center"/>
      <w:outlineLvl w:val="3"/>
    </w:pPr>
    <w:rPr>
      <w:rFonts w:ascii="Times" w:hAnsi="Times"/>
      <w:szCs w:val="20"/>
    </w:rPr>
  </w:style>
  <w:style w:type="paragraph" w:styleId="Heading5">
    <w:name w:val="heading 5"/>
    <w:basedOn w:val="Normal"/>
    <w:next w:val="Normal"/>
    <w:qFormat/>
    <w:rsid w:val="00674C03"/>
    <w:pPr>
      <w:keepNext/>
      <w:outlineLvl w:val="4"/>
    </w:pPr>
    <w:rPr>
      <w:rFonts w:ascii="Times" w:hAnsi="Times"/>
      <w:b/>
      <w:i/>
      <w:szCs w:val="20"/>
    </w:rPr>
  </w:style>
  <w:style w:type="paragraph" w:styleId="Heading6">
    <w:name w:val="heading 6"/>
    <w:basedOn w:val="Normal"/>
    <w:next w:val="Normal"/>
    <w:qFormat/>
    <w:rsid w:val="00674C03"/>
    <w:pPr>
      <w:keepNext/>
      <w:spacing w:line="480" w:lineRule="auto"/>
      <w:jc w:val="center"/>
      <w:outlineLvl w:val="5"/>
    </w:pPr>
    <w:rPr>
      <w:rFonts w:ascii="Times" w:hAnsi="Times"/>
      <w:b/>
      <w:sz w:val="20"/>
      <w:szCs w:val="20"/>
    </w:rPr>
  </w:style>
  <w:style w:type="paragraph" w:styleId="Heading7">
    <w:name w:val="heading 7"/>
    <w:basedOn w:val="Normal"/>
    <w:next w:val="Normal"/>
    <w:link w:val="Heading7Char"/>
    <w:qFormat/>
    <w:rsid w:val="006C186D"/>
    <w:pPr>
      <w:keepNext/>
      <w:outlineLvl w:val="6"/>
    </w:pPr>
    <w:rPr>
      <w:b/>
      <w:bCs/>
      <w:color w:val="000000"/>
      <w:sz w:val="32"/>
      <w:szCs w:val="32"/>
    </w:rPr>
  </w:style>
  <w:style w:type="paragraph" w:styleId="Heading8">
    <w:name w:val="heading 8"/>
    <w:basedOn w:val="Normal"/>
    <w:next w:val="Normal"/>
    <w:qFormat/>
    <w:rsid w:val="00674C03"/>
    <w:pPr>
      <w:keepNext/>
      <w:spacing w:line="480" w:lineRule="auto"/>
      <w:jc w:val="both"/>
      <w:outlineLvl w:val="7"/>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4C03"/>
    <w:rPr>
      <w:rFonts w:ascii="Tahoma" w:hAnsi="Tahoma" w:cs="Tahoma"/>
      <w:sz w:val="16"/>
      <w:szCs w:val="16"/>
    </w:rPr>
  </w:style>
  <w:style w:type="paragraph" w:styleId="BodyText2">
    <w:name w:val="Body Text 2"/>
    <w:basedOn w:val="Normal"/>
    <w:rsid w:val="00674C03"/>
    <w:pPr>
      <w:spacing w:line="480" w:lineRule="auto"/>
      <w:jc w:val="both"/>
    </w:pPr>
    <w:rPr>
      <w:rFonts w:ascii="Times" w:hAnsi="Times"/>
      <w:szCs w:val="20"/>
    </w:rPr>
  </w:style>
  <w:style w:type="paragraph" w:styleId="NormalWeb">
    <w:name w:val="Normal (Web)"/>
    <w:basedOn w:val="Normal"/>
    <w:rsid w:val="00674C03"/>
    <w:pPr>
      <w:spacing w:before="100" w:beforeAutospacing="1" w:after="100" w:afterAutospacing="1"/>
    </w:pPr>
    <w:rPr>
      <w:rFonts w:ascii="Arial" w:hAnsi="Arial" w:cs="Arial"/>
    </w:rPr>
  </w:style>
  <w:style w:type="paragraph" w:styleId="FootnoteText">
    <w:name w:val="footnote text"/>
    <w:basedOn w:val="Normal"/>
    <w:link w:val="FootnoteTextChar"/>
    <w:rsid w:val="00674C03"/>
    <w:rPr>
      <w:sz w:val="20"/>
      <w:szCs w:val="20"/>
    </w:rPr>
  </w:style>
  <w:style w:type="character" w:styleId="FootnoteReference">
    <w:name w:val="footnote reference"/>
    <w:semiHidden/>
    <w:rsid w:val="00674C03"/>
    <w:rPr>
      <w:vertAlign w:val="superscript"/>
    </w:rPr>
  </w:style>
  <w:style w:type="table" w:styleId="TableGrid">
    <w:name w:val="Table Grid"/>
    <w:basedOn w:val="TableNormal"/>
    <w:uiPriority w:val="59"/>
    <w:rsid w:val="0067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674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umInd">
    <w:name w:val="Enum Ind"/>
    <w:basedOn w:val="Normal"/>
    <w:rsid w:val="00674C03"/>
    <w:pPr>
      <w:tabs>
        <w:tab w:val="left" w:pos="960"/>
      </w:tabs>
      <w:spacing w:before="30" w:after="30"/>
      <w:ind w:left="960" w:hanging="480"/>
    </w:pPr>
    <w:rPr>
      <w:sz w:val="22"/>
      <w:szCs w:val="20"/>
    </w:rPr>
  </w:style>
  <w:style w:type="paragraph" w:customStyle="1" w:styleId="BulletedTxt2">
    <w:name w:val="Bulleted Txt2"/>
    <w:basedOn w:val="Normal"/>
    <w:next w:val="Normal"/>
    <w:rsid w:val="00674C03"/>
    <w:pPr>
      <w:numPr>
        <w:numId w:val="1"/>
      </w:numPr>
      <w:tabs>
        <w:tab w:val="clear" w:pos="720"/>
        <w:tab w:val="left" w:pos="1260"/>
      </w:tabs>
      <w:spacing w:before="60" w:after="60"/>
      <w:ind w:left="1260" w:hanging="300"/>
    </w:pPr>
    <w:rPr>
      <w:sz w:val="22"/>
      <w:szCs w:val="20"/>
    </w:rPr>
  </w:style>
  <w:style w:type="paragraph" w:styleId="BodyText">
    <w:name w:val="Body Text"/>
    <w:basedOn w:val="Normal"/>
    <w:rsid w:val="00B72B22"/>
    <w:pPr>
      <w:spacing w:after="120"/>
    </w:pPr>
  </w:style>
  <w:style w:type="character" w:styleId="Strong">
    <w:name w:val="Strong"/>
    <w:qFormat/>
    <w:rsid w:val="0017287F"/>
    <w:rPr>
      <w:b/>
      <w:bCs/>
    </w:rPr>
  </w:style>
  <w:style w:type="character" w:styleId="Hyperlink">
    <w:name w:val="Hyperlink"/>
    <w:uiPriority w:val="99"/>
    <w:rsid w:val="00317C44"/>
    <w:rPr>
      <w:color w:val="003399"/>
      <w:u w:val="single"/>
    </w:rPr>
  </w:style>
  <w:style w:type="character" w:styleId="Emphasis">
    <w:name w:val="Emphasis"/>
    <w:qFormat/>
    <w:rsid w:val="00317C44"/>
    <w:rPr>
      <w:i/>
      <w:iCs/>
    </w:rPr>
  </w:style>
  <w:style w:type="character" w:customStyle="1" w:styleId="italic1">
    <w:name w:val="italic1"/>
    <w:rsid w:val="00B3627B"/>
    <w:rPr>
      <w:i/>
      <w:iCs/>
    </w:rPr>
  </w:style>
  <w:style w:type="character" w:customStyle="1" w:styleId="bold1">
    <w:name w:val="bold1"/>
    <w:rsid w:val="00B3627B"/>
    <w:rPr>
      <w:b/>
      <w:bCs/>
    </w:rPr>
  </w:style>
  <w:style w:type="paragraph" w:styleId="Footer">
    <w:name w:val="footer"/>
    <w:basedOn w:val="Normal"/>
    <w:link w:val="FooterChar"/>
    <w:uiPriority w:val="99"/>
    <w:rsid w:val="00FD298D"/>
    <w:pPr>
      <w:tabs>
        <w:tab w:val="center" w:pos="4320"/>
        <w:tab w:val="right" w:pos="8640"/>
      </w:tabs>
    </w:pPr>
  </w:style>
  <w:style w:type="character" w:styleId="PageNumber">
    <w:name w:val="page number"/>
    <w:basedOn w:val="DefaultParagraphFont"/>
    <w:rsid w:val="00FD298D"/>
  </w:style>
  <w:style w:type="paragraph" w:styleId="Header">
    <w:name w:val="header"/>
    <w:basedOn w:val="Normal"/>
    <w:link w:val="HeaderChar"/>
    <w:rsid w:val="004602D9"/>
    <w:pPr>
      <w:tabs>
        <w:tab w:val="center" w:pos="4513"/>
        <w:tab w:val="right" w:pos="9026"/>
      </w:tabs>
    </w:pPr>
  </w:style>
  <w:style w:type="character" w:customStyle="1" w:styleId="HeaderChar">
    <w:name w:val="Header Char"/>
    <w:link w:val="Header"/>
    <w:uiPriority w:val="99"/>
    <w:rsid w:val="004602D9"/>
    <w:rPr>
      <w:sz w:val="24"/>
      <w:szCs w:val="24"/>
      <w:lang w:val="en-US" w:eastAsia="en-US"/>
    </w:rPr>
  </w:style>
  <w:style w:type="character" w:customStyle="1" w:styleId="FooterChar">
    <w:name w:val="Footer Char"/>
    <w:link w:val="Footer"/>
    <w:uiPriority w:val="99"/>
    <w:rsid w:val="004602D9"/>
    <w:rPr>
      <w:sz w:val="24"/>
      <w:szCs w:val="24"/>
      <w:lang w:val="en-US" w:eastAsia="en-US"/>
    </w:rPr>
  </w:style>
  <w:style w:type="character" w:customStyle="1" w:styleId="hit">
    <w:name w:val="hit"/>
    <w:rsid w:val="002C2746"/>
  </w:style>
  <w:style w:type="character" w:customStyle="1" w:styleId="FootnoteTextChar">
    <w:name w:val="Footnote Text Char"/>
    <w:link w:val="FootnoteText"/>
    <w:uiPriority w:val="99"/>
    <w:rsid w:val="006F2F85"/>
    <w:rPr>
      <w:lang w:val="en-US" w:eastAsia="en-US"/>
    </w:rPr>
  </w:style>
  <w:style w:type="character" w:customStyle="1" w:styleId="Heading1Char">
    <w:name w:val="Heading 1 Char"/>
    <w:basedOn w:val="DefaultParagraphFont"/>
    <w:link w:val="Heading1"/>
    <w:uiPriority w:val="9"/>
    <w:locked/>
    <w:rsid w:val="00C77C35"/>
    <w:rPr>
      <w:rFonts w:ascii="Times" w:hAnsi="Times"/>
      <w:b/>
      <w:sz w:val="24"/>
      <w:lang w:val="en-US" w:eastAsia="en-US"/>
    </w:rPr>
  </w:style>
  <w:style w:type="character" w:styleId="CommentReference">
    <w:name w:val="annotation reference"/>
    <w:basedOn w:val="DefaultParagraphFont"/>
    <w:uiPriority w:val="99"/>
    <w:rsid w:val="00714EC9"/>
    <w:rPr>
      <w:sz w:val="16"/>
      <w:szCs w:val="16"/>
    </w:rPr>
  </w:style>
  <w:style w:type="paragraph" w:styleId="CommentText">
    <w:name w:val="annotation text"/>
    <w:basedOn w:val="Normal"/>
    <w:link w:val="CommentTextChar"/>
    <w:uiPriority w:val="99"/>
    <w:rsid w:val="00714EC9"/>
    <w:rPr>
      <w:sz w:val="20"/>
      <w:szCs w:val="20"/>
    </w:rPr>
  </w:style>
  <w:style w:type="character" w:customStyle="1" w:styleId="CommentTextChar">
    <w:name w:val="Comment Text Char"/>
    <w:basedOn w:val="DefaultParagraphFont"/>
    <w:link w:val="CommentText"/>
    <w:uiPriority w:val="99"/>
    <w:rsid w:val="00714EC9"/>
    <w:rPr>
      <w:lang w:val="en-US" w:eastAsia="en-US"/>
    </w:rPr>
  </w:style>
  <w:style w:type="paragraph" w:styleId="CommentSubject">
    <w:name w:val="annotation subject"/>
    <w:basedOn w:val="CommentText"/>
    <w:next w:val="CommentText"/>
    <w:link w:val="CommentSubjectChar"/>
    <w:uiPriority w:val="99"/>
    <w:rsid w:val="00714EC9"/>
    <w:rPr>
      <w:b/>
      <w:bCs/>
    </w:rPr>
  </w:style>
  <w:style w:type="character" w:customStyle="1" w:styleId="CommentSubjectChar">
    <w:name w:val="Comment Subject Char"/>
    <w:basedOn w:val="CommentTextChar"/>
    <w:link w:val="CommentSubject"/>
    <w:uiPriority w:val="99"/>
    <w:rsid w:val="00714EC9"/>
    <w:rPr>
      <w:b/>
      <w:bCs/>
      <w:lang w:val="en-US" w:eastAsia="en-US"/>
    </w:rPr>
  </w:style>
  <w:style w:type="paragraph" w:styleId="ListParagraph">
    <w:name w:val="List Paragraph"/>
    <w:basedOn w:val="Normal"/>
    <w:uiPriority w:val="34"/>
    <w:qFormat/>
    <w:rsid w:val="00E12BB1"/>
    <w:pPr>
      <w:ind w:left="720"/>
      <w:contextualSpacing/>
    </w:pPr>
  </w:style>
  <w:style w:type="character" w:customStyle="1" w:styleId="Heading7Char">
    <w:name w:val="Heading 7 Char"/>
    <w:basedOn w:val="DefaultParagraphFont"/>
    <w:link w:val="Heading7"/>
    <w:rsid w:val="006C186D"/>
    <w:rPr>
      <w:b/>
      <w:bCs/>
      <w:color w:val="000000"/>
      <w:sz w:val="32"/>
      <w:szCs w:val="32"/>
      <w:lang w:val="en-US" w:eastAsia="en-US"/>
    </w:rPr>
  </w:style>
  <w:style w:type="character" w:customStyle="1" w:styleId="content">
    <w:name w:val="content"/>
    <w:basedOn w:val="DefaultParagraphFont"/>
    <w:rsid w:val="006C186D"/>
  </w:style>
  <w:style w:type="paragraph" w:styleId="BodyTextIndent">
    <w:name w:val="Body Text Indent"/>
    <w:basedOn w:val="Normal"/>
    <w:link w:val="BodyTextIndentChar"/>
    <w:rsid w:val="006C186D"/>
    <w:pPr>
      <w:spacing w:line="480" w:lineRule="auto"/>
      <w:ind w:left="360" w:hanging="360"/>
      <w:jc w:val="both"/>
    </w:pPr>
    <w:rPr>
      <w:rFonts w:ascii="Arial" w:hAnsi="Arial" w:cs="Arial"/>
      <w:color w:val="000000"/>
      <w:sz w:val="22"/>
      <w:szCs w:val="22"/>
    </w:rPr>
  </w:style>
  <w:style w:type="character" w:customStyle="1" w:styleId="BodyTextIndentChar">
    <w:name w:val="Body Text Indent Char"/>
    <w:basedOn w:val="DefaultParagraphFont"/>
    <w:link w:val="BodyTextIndent"/>
    <w:rsid w:val="006C186D"/>
    <w:rPr>
      <w:rFonts w:ascii="Arial" w:hAnsi="Arial" w:cs="Arial"/>
      <w:color w:val="000000"/>
      <w:sz w:val="22"/>
      <w:szCs w:val="22"/>
      <w:lang w:val="en-US" w:eastAsia="en-US"/>
    </w:rPr>
  </w:style>
  <w:style w:type="paragraph" w:styleId="BodyText3">
    <w:name w:val="Body Text 3"/>
    <w:basedOn w:val="Normal"/>
    <w:link w:val="BodyText3Char"/>
    <w:rsid w:val="006C186D"/>
    <w:pPr>
      <w:jc w:val="both"/>
    </w:pPr>
    <w:rPr>
      <w:color w:val="000000"/>
      <w:szCs w:val="22"/>
    </w:rPr>
  </w:style>
  <w:style w:type="character" w:customStyle="1" w:styleId="BodyText3Char">
    <w:name w:val="Body Text 3 Char"/>
    <w:basedOn w:val="DefaultParagraphFont"/>
    <w:link w:val="BodyText3"/>
    <w:rsid w:val="006C186D"/>
    <w:rPr>
      <w:color w:val="000000"/>
      <w:sz w:val="24"/>
      <w:szCs w:val="22"/>
      <w:lang w:val="en-US" w:eastAsia="en-US"/>
    </w:rPr>
  </w:style>
  <w:style w:type="character" w:customStyle="1" w:styleId="apple-style-span">
    <w:name w:val="apple-style-span"/>
    <w:basedOn w:val="DefaultParagraphFont"/>
    <w:rsid w:val="006C186D"/>
  </w:style>
  <w:style w:type="character" w:customStyle="1" w:styleId="mediumtext">
    <w:name w:val="medium_text"/>
    <w:basedOn w:val="DefaultParagraphFont"/>
    <w:rsid w:val="006C186D"/>
  </w:style>
  <w:style w:type="paragraph" w:styleId="Caption">
    <w:name w:val="caption"/>
    <w:basedOn w:val="Normal"/>
    <w:next w:val="Normal"/>
    <w:unhideWhenUsed/>
    <w:qFormat/>
    <w:rsid w:val="006C186D"/>
    <w:rPr>
      <w:b/>
      <w:bCs/>
      <w:sz w:val="20"/>
      <w:szCs w:val="20"/>
      <w:lang w:val="en-GB"/>
    </w:rPr>
  </w:style>
  <w:style w:type="character" w:styleId="FollowedHyperlink">
    <w:name w:val="FollowedHyperlink"/>
    <w:basedOn w:val="DefaultParagraphFont"/>
    <w:uiPriority w:val="99"/>
    <w:unhideWhenUsed/>
    <w:rsid w:val="006C186D"/>
    <w:rPr>
      <w:color w:val="800080" w:themeColor="followedHyperlink"/>
      <w:u w:val="single"/>
    </w:rPr>
  </w:style>
  <w:style w:type="character" w:customStyle="1" w:styleId="BalloonTextChar">
    <w:name w:val="Balloon Text Char"/>
    <w:basedOn w:val="DefaultParagraphFont"/>
    <w:link w:val="BalloonText"/>
    <w:uiPriority w:val="99"/>
    <w:semiHidden/>
    <w:rsid w:val="00F32F42"/>
    <w:rPr>
      <w:rFonts w:ascii="Tahoma" w:hAnsi="Tahoma" w:cs="Tahoma"/>
      <w:sz w:val="16"/>
      <w:szCs w:val="16"/>
      <w:lang w:val="en-US" w:eastAsia="en-US"/>
    </w:rPr>
  </w:style>
  <w:style w:type="character" w:styleId="IntenseEmphasis">
    <w:name w:val="Intense Emphasis"/>
    <w:basedOn w:val="DefaultParagraphFont"/>
    <w:uiPriority w:val="21"/>
    <w:qFormat/>
    <w:rsid w:val="00F32F42"/>
    <w:rPr>
      <w:b/>
      <w:bCs/>
      <w:i/>
      <w:iCs/>
      <w:color w:val="4F81BD" w:themeColor="accent1"/>
    </w:rPr>
  </w:style>
  <w:style w:type="paragraph" w:styleId="Revision">
    <w:name w:val="Revision"/>
    <w:hidden/>
    <w:uiPriority w:val="99"/>
    <w:semiHidden/>
    <w:rsid w:val="00F32F42"/>
    <w:rPr>
      <w:rFonts w:asciiTheme="minorHAnsi" w:eastAsiaTheme="minorEastAsia" w:hAnsiTheme="minorHAnsi" w:cstheme="minorBidi"/>
      <w:sz w:val="22"/>
      <w:szCs w:val="28"/>
      <w:lang w:val="en-US" w:eastAsia="en-US" w:bidi="th-TH"/>
    </w:rPr>
  </w:style>
  <w:style w:type="paragraph" w:styleId="BodyTextIndent2">
    <w:name w:val="Body Text Indent 2"/>
    <w:basedOn w:val="Normal"/>
    <w:link w:val="BodyTextIndent2Char"/>
    <w:uiPriority w:val="99"/>
    <w:semiHidden/>
    <w:unhideWhenUsed/>
    <w:rsid w:val="00F32F42"/>
    <w:pPr>
      <w:spacing w:before="100" w:beforeAutospacing="1" w:after="100" w:afterAutospacing="1"/>
    </w:pPr>
    <w:rPr>
      <w:rFonts w:ascii="Angsana New" w:hAnsi="Angsana New" w:cs="Angsana New"/>
      <w:sz w:val="28"/>
      <w:szCs w:val="28"/>
      <w:lang w:bidi="th-TH"/>
    </w:rPr>
  </w:style>
  <w:style w:type="character" w:customStyle="1" w:styleId="BodyTextIndent2Char">
    <w:name w:val="Body Text Indent 2 Char"/>
    <w:basedOn w:val="DefaultParagraphFont"/>
    <w:link w:val="BodyTextIndent2"/>
    <w:uiPriority w:val="99"/>
    <w:semiHidden/>
    <w:rsid w:val="00F32F42"/>
    <w:rPr>
      <w:rFonts w:ascii="Angsana New" w:hAnsi="Angsana New" w:cs="Angsana New"/>
      <w:sz w:val="28"/>
      <w:szCs w:val="28"/>
      <w:lang w:val="en-US" w:eastAsia="en-US" w:bidi="th-TH"/>
    </w:rPr>
  </w:style>
  <w:style w:type="character" w:customStyle="1" w:styleId="apple-converted-space">
    <w:name w:val="apple-converted-space"/>
    <w:basedOn w:val="DefaultParagraphFont"/>
    <w:rsid w:val="00F32F42"/>
  </w:style>
  <w:style w:type="paragraph" w:styleId="NoSpacing">
    <w:name w:val="No Spacing"/>
    <w:uiPriority w:val="1"/>
    <w:qFormat/>
    <w:rsid w:val="00EB7D17"/>
    <w:rPr>
      <w:rFonts w:ascii="Calibri" w:hAnsi="Calibri" w:cs="Arial"/>
      <w:lang w:val="en-MY" w:eastAsia="en-MY"/>
    </w:rPr>
  </w:style>
  <w:style w:type="paragraph" w:customStyle="1" w:styleId="Standard">
    <w:name w:val="Standard"/>
    <w:rsid w:val="00EB7D17"/>
    <w:pPr>
      <w:suppressAutoHyphens/>
      <w:autoSpaceDN w:val="0"/>
      <w:spacing w:line="480" w:lineRule="auto"/>
      <w:jc w:val="both"/>
      <w:textAlignment w:val="baseline"/>
    </w:pPr>
    <w:rPr>
      <w:kern w:val="3"/>
      <w:sz w:val="24"/>
      <w:lang w:val="en-GB" w:eastAsia="en-US"/>
    </w:rPr>
  </w:style>
  <w:style w:type="paragraph" w:customStyle="1" w:styleId="TableTitle">
    <w:name w:val="Table Title"/>
    <w:basedOn w:val="Normal"/>
    <w:rsid w:val="00EB7D17"/>
    <w:pPr>
      <w:spacing w:before="240" w:after="240"/>
      <w:jc w:val="center"/>
    </w:pPr>
    <w:rPr>
      <w:rFonts w:ascii="Calibri" w:eastAsia="Calibri" w:hAnsi="Calibri" w:cs="Arial"/>
      <w:bCs/>
      <w:i/>
      <w:sz w:val="22"/>
      <w:lang w:val="en-GB"/>
    </w:rPr>
  </w:style>
  <w:style w:type="paragraph" w:customStyle="1" w:styleId="firsttitle">
    <w:name w:val="first title"/>
    <w:basedOn w:val="Normal"/>
    <w:link w:val="firsttitleChar"/>
    <w:rsid w:val="00EB7D17"/>
    <w:pPr>
      <w:numPr>
        <w:ilvl w:val="1"/>
        <w:numId w:val="18"/>
      </w:numPr>
      <w:spacing w:line="480" w:lineRule="auto"/>
      <w:jc w:val="both"/>
    </w:pPr>
    <w:rPr>
      <w:b/>
      <w:bCs/>
      <w:sz w:val="26"/>
      <w:szCs w:val="26"/>
    </w:rPr>
  </w:style>
  <w:style w:type="character" w:customStyle="1" w:styleId="firsttitleChar">
    <w:name w:val="first title Char"/>
    <w:link w:val="firsttitle"/>
    <w:rsid w:val="00EB7D17"/>
    <w:rPr>
      <w:b/>
      <w:bCs/>
      <w:sz w:val="26"/>
      <w:szCs w:val="26"/>
      <w:lang w:val="en-US" w:eastAsia="en-US"/>
    </w:rPr>
  </w:style>
  <w:style w:type="character" w:customStyle="1" w:styleId="a1">
    <w:name w:val="a1"/>
    <w:basedOn w:val="DefaultParagraphFont"/>
    <w:rsid w:val="00EB7D17"/>
    <w:rPr>
      <w:rFonts w:ascii="Times New Roman" w:hAnsi="Times New Roman" w:cs="Times New Roman" w:hint="default"/>
      <w:b w:val="0"/>
      <w:bCs w:val="0"/>
      <w:i w:val="0"/>
      <w:iCs w:val="0"/>
      <w:bdr w:val="none" w:sz="0" w:space="0" w:color="auto" w:frame="1"/>
    </w:rPr>
  </w:style>
  <w:style w:type="paragraph" w:customStyle="1" w:styleId="EndNoteBibliography">
    <w:name w:val="EndNote Bibliography"/>
    <w:basedOn w:val="Normal"/>
    <w:link w:val="EndNoteBibliographyChar"/>
    <w:rsid w:val="00F22990"/>
    <w:pPr>
      <w:spacing w:after="200"/>
      <w:jc w:val="both"/>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F22990"/>
    <w:rPr>
      <w:rFonts w:ascii="Calibri" w:eastAsiaTheme="minorHAnsi" w:hAnsi="Calibri" w:cs="Calibri"/>
      <w:noProof/>
      <w:sz w:val="22"/>
      <w:szCs w:val="22"/>
      <w:lang w:val="en-US" w:eastAsia="en-US"/>
    </w:rPr>
  </w:style>
  <w:style w:type="character" w:customStyle="1" w:styleId="style116">
    <w:name w:val="style116"/>
    <w:basedOn w:val="DefaultParagraphFont"/>
    <w:rsid w:val="00912937"/>
  </w:style>
  <w:style w:type="character" w:styleId="UnresolvedMention">
    <w:name w:val="Unresolved Mention"/>
    <w:basedOn w:val="DefaultParagraphFont"/>
    <w:uiPriority w:val="99"/>
    <w:semiHidden/>
    <w:unhideWhenUsed/>
    <w:rsid w:val="006635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2201">
      <w:bodyDiv w:val="1"/>
      <w:marLeft w:val="0"/>
      <w:marRight w:val="0"/>
      <w:marTop w:val="0"/>
      <w:marBottom w:val="0"/>
      <w:divBdr>
        <w:top w:val="none" w:sz="0" w:space="0" w:color="auto"/>
        <w:left w:val="none" w:sz="0" w:space="0" w:color="auto"/>
        <w:bottom w:val="none" w:sz="0" w:space="0" w:color="auto"/>
        <w:right w:val="none" w:sz="0" w:space="0" w:color="auto"/>
      </w:divBdr>
    </w:div>
    <w:div w:id="1146433442">
      <w:bodyDiv w:val="1"/>
      <w:marLeft w:val="0"/>
      <w:marRight w:val="0"/>
      <w:marTop w:val="0"/>
      <w:marBottom w:val="0"/>
      <w:divBdr>
        <w:top w:val="none" w:sz="0" w:space="0" w:color="auto"/>
        <w:left w:val="none" w:sz="0" w:space="0" w:color="auto"/>
        <w:bottom w:val="none" w:sz="0" w:space="0" w:color="auto"/>
        <w:right w:val="none" w:sz="0" w:space="0" w:color="auto"/>
      </w:divBdr>
    </w:div>
    <w:div w:id="1312712940">
      <w:bodyDiv w:val="1"/>
      <w:marLeft w:val="0"/>
      <w:marRight w:val="0"/>
      <w:marTop w:val="0"/>
      <w:marBottom w:val="0"/>
      <w:divBdr>
        <w:top w:val="none" w:sz="0" w:space="0" w:color="auto"/>
        <w:left w:val="none" w:sz="0" w:space="0" w:color="auto"/>
        <w:bottom w:val="none" w:sz="0" w:space="0" w:color="auto"/>
        <w:right w:val="none" w:sz="0" w:space="0" w:color="auto"/>
      </w:divBdr>
      <w:divsChild>
        <w:div w:id="1984893705">
          <w:marLeft w:val="0"/>
          <w:marRight w:val="0"/>
          <w:marTop w:val="0"/>
          <w:marBottom w:val="0"/>
          <w:divBdr>
            <w:top w:val="none" w:sz="0" w:space="0" w:color="auto"/>
            <w:left w:val="none" w:sz="0" w:space="0" w:color="auto"/>
            <w:bottom w:val="none" w:sz="0" w:space="0" w:color="auto"/>
            <w:right w:val="none" w:sz="0" w:space="0" w:color="auto"/>
          </w:divBdr>
        </w:div>
      </w:divsChild>
    </w:div>
    <w:div w:id="1377659150">
      <w:bodyDiv w:val="1"/>
      <w:marLeft w:val="0"/>
      <w:marRight w:val="0"/>
      <w:marTop w:val="0"/>
      <w:marBottom w:val="0"/>
      <w:divBdr>
        <w:top w:val="none" w:sz="0" w:space="0" w:color="auto"/>
        <w:left w:val="none" w:sz="0" w:space="0" w:color="auto"/>
        <w:bottom w:val="none" w:sz="0" w:space="0" w:color="auto"/>
        <w:right w:val="none" w:sz="0" w:space="0" w:color="auto"/>
      </w:divBdr>
    </w:div>
    <w:div w:id="1798254251">
      <w:bodyDiv w:val="1"/>
      <w:marLeft w:val="0"/>
      <w:marRight w:val="0"/>
      <w:marTop w:val="0"/>
      <w:marBottom w:val="0"/>
      <w:divBdr>
        <w:top w:val="none" w:sz="0" w:space="0" w:color="auto"/>
        <w:left w:val="none" w:sz="0" w:space="0" w:color="auto"/>
        <w:bottom w:val="none" w:sz="0" w:space="0" w:color="auto"/>
        <w:right w:val="none" w:sz="0" w:space="0" w:color="auto"/>
      </w:divBdr>
      <w:divsChild>
        <w:div w:id="401873014">
          <w:marLeft w:val="0"/>
          <w:marRight w:val="0"/>
          <w:marTop w:val="0"/>
          <w:marBottom w:val="0"/>
          <w:divBdr>
            <w:top w:val="none" w:sz="0" w:space="0" w:color="auto"/>
            <w:left w:val="none" w:sz="0" w:space="0" w:color="auto"/>
            <w:bottom w:val="none" w:sz="0" w:space="0" w:color="auto"/>
            <w:right w:val="none" w:sz="0" w:space="0" w:color="auto"/>
          </w:divBdr>
        </w:div>
      </w:divsChild>
    </w:div>
    <w:div w:id="20579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2777-1FC2-4B0D-81E0-C78254D5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18</Pages>
  <Words>7797</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maliah</dc:creator>
  <cp:lastModifiedBy>0000</cp:lastModifiedBy>
  <cp:revision>30</cp:revision>
  <cp:lastPrinted>2018-04-16T02:47:00Z</cp:lastPrinted>
  <dcterms:created xsi:type="dcterms:W3CDTF">2018-04-15T02:50:00Z</dcterms:created>
  <dcterms:modified xsi:type="dcterms:W3CDTF">2018-09-27T11:11:00Z</dcterms:modified>
</cp:coreProperties>
</file>